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F4F8A73" w14:textId="77777777" w:rsidR="00CB0D27" w:rsidRPr="00866AB5" w:rsidRDefault="00CB0D27" w:rsidP="00307AA5">
      <w:pPr>
        <w:pStyle w:val="NormalAntony"/>
        <w:spacing w:line="240" w:lineRule="auto"/>
        <w:jc w:val="right"/>
        <w:rPr>
          <w:rFonts w:ascii="Times New Roman" w:hAnsi="Times New Roman" w:cs="Times New Roman"/>
          <w:b/>
        </w:rPr>
      </w:pPr>
      <w:bookmarkStart w:id="0" w:name="_Hlk146277036"/>
      <w:r w:rsidRPr="005745E9">
        <w:rPr>
          <w:rFonts w:ascii="Times New Roman" w:hAnsi="Times New Roman" w:cs="Times New Roman"/>
          <w:sz w:val="22"/>
          <w:szCs w:val="22"/>
        </w:rPr>
        <w:t>EDUCA UMCH, 26, enero - junio 2025</w:t>
      </w:r>
      <w:r>
        <w:rPr>
          <w:rFonts w:ascii="Times New Roman" w:hAnsi="Times New Roman" w:cs="Times New Roman"/>
        </w:rPr>
        <w:t xml:space="preserve">  </w:t>
      </w:r>
      <w:hyperlink r:id="rId8" w:history="1">
        <w:r w:rsidRPr="00FE161C">
          <w:rPr>
            <w:rStyle w:val="Hipervnculo"/>
            <w:rFonts w:ascii="Times New Roman" w:hAnsi="Times New Roman" w:cs="Times New Roman"/>
            <w:color w:val="0000FF"/>
            <w:lang w:eastAsia="es-MX"/>
          </w:rPr>
          <w:t>https://doi.org/10.35756/educaumc</w:t>
        </w:r>
      </w:hyperlink>
      <w:hyperlink r:id="rId9">
        <w:r w:rsidRPr="00B90BF1">
          <w:rPr>
            <w:rStyle w:val="Hipervnculo"/>
            <w:rFonts w:ascii="Times New Roman" w:hAnsi="Times New Roman" w:cs="Times New Roman"/>
            <w:color w:val="0000FF"/>
            <w:lang w:eastAsia="es-MX"/>
          </w:rPr>
          <w:t>h</w:t>
        </w:r>
      </w:hyperlink>
      <w:r w:rsidRPr="00B90BF1">
        <w:rPr>
          <w:rStyle w:val="Hipervnculo"/>
          <w:rFonts w:ascii="Times New Roman" w:hAnsi="Times New Roman" w:cs="Times New Roman"/>
          <w:color w:val="0000FF"/>
          <w:lang w:eastAsia="es-MX"/>
        </w:rPr>
        <w:t>.</w:t>
      </w:r>
      <w:hyperlink r:id="rId10">
        <w:r w:rsidRPr="00B90BF1">
          <w:rPr>
            <w:rStyle w:val="Hipervnculo"/>
            <w:rFonts w:ascii="Times New Roman" w:hAnsi="Times New Roman" w:cs="Times New Roman"/>
            <w:color w:val="0000FF"/>
            <w:lang w:eastAsia="es-MX"/>
          </w:rPr>
          <w:t>202</w:t>
        </w:r>
        <w:r>
          <w:rPr>
            <w:rStyle w:val="Hipervnculo"/>
            <w:rFonts w:ascii="Times New Roman" w:hAnsi="Times New Roman" w:cs="Times New Roman"/>
            <w:color w:val="0000FF"/>
            <w:lang w:eastAsia="es-MX"/>
          </w:rPr>
          <w:t>5</w:t>
        </w:r>
        <w:r w:rsidRPr="00B90BF1">
          <w:rPr>
            <w:rStyle w:val="Hipervnculo"/>
            <w:rFonts w:ascii="Times New Roman" w:hAnsi="Times New Roman" w:cs="Times New Roman"/>
            <w:color w:val="0000FF"/>
            <w:lang w:eastAsia="es-MX"/>
          </w:rPr>
          <w:t>2</w:t>
        </w:r>
        <w:r>
          <w:rPr>
            <w:rStyle w:val="Hipervnculo"/>
            <w:rFonts w:ascii="Times New Roman" w:hAnsi="Times New Roman" w:cs="Times New Roman"/>
            <w:color w:val="0000FF"/>
            <w:lang w:eastAsia="es-MX"/>
          </w:rPr>
          <w:t>6</w:t>
        </w:r>
        <w:r w:rsidRPr="00B90BF1">
          <w:rPr>
            <w:rStyle w:val="Hipervnculo"/>
            <w:rFonts w:ascii="Times New Roman" w:hAnsi="Times New Roman" w:cs="Times New Roman"/>
            <w:color w:val="0000FF"/>
            <w:lang w:eastAsia="es-MX"/>
          </w:rPr>
          <w:t>.3</w:t>
        </w:r>
        <w:r w:rsidR="00213647">
          <w:rPr>
            <w:rStyle w:val="Hipervnculo"/>
            <w:rFonts w:ascii="Times New Roman" w:hAnsi="Times New Roman" w:cs="Times New Roman"/>
            <w:color w:val="0000FF"/>
            <w:lang w:eastAsia="es-MX"/>
          </w:rPr>
          <w:t>39</w:t>
        </w:r>
      </w:hyperlink>
      <w:r w:rsidRPr="00866AB5">
        <w:rPr>
          <w:rFonts w:ascii="Times New Roman" w:hAnsi="Times New Roman" w:cs="Times New Roman"/>
        </w:rPr>
        <w:t xml:space="preserve"> </w:t>
      </w:r>
    </w:p>
    <w:p w14:paraId="497F203D" w14:textId="77777777" w:rsidR="00CB0D27" w:rsidRDefault="00CB0D27" w:rsidP="00A1550C">
      <w:pPr>
        <w:spacing w:line="240" w:lineRule="auto"/>
        <w:jc w:val="center"/>
        <w:rPr>
          <w:rFonts w:ascii="Times New Roman" w:hAnsi="Times New Roman"/>
          <w:sz w:val="24"/>
        </w:rPr>
      </w:pPr>
      <w:r w:rsidRPr="00866AB5">
        <w:rPr>
          <w:rFonts w:ascii="Times New Roman" w:hAnsi="Times New Roman"/>
          <w:sz w:val="24"/>
        </w:rPr>
        <w:t>ISSN: 2617-0337</w:t>
      </w:r>
    </w:p>
    <w:p w14:paraId="7480190A" w14:textId="77777777" w:rsidR="006D5957" w:rsidRDefault="006D5957" w:rsidP="006D5957">
      <w:pPr>
        <w:tabs>
          <w:tab w:val="left" w:pos="4806"/>
        </w:tabs>
        <w:spacing w:line="240" w:lineRule="auto"/>
        <w:rPr>
          <w:rFonts w:ascii="Times New Roman" w:hAnsi="Times New Roman"/>
          <w:b/>
          <w:sz w:val="24"/>
        </w:rPr>
      </w:pPr>
    </w:p>
    <w:p w14:paraId="35B9385C" w14:textId="714D7CEE" w:rsidR="00246698" w:rsidRPr="00246698" w:rsidRDefault="00246698" w:rsidP="006D5957">
      <w:pPr>
        <w:tabs>
          <w:tab w:val="left" w:pos="4806"/>
        </w:tabs>
        <w:spacing w:line="240" w:lineRule="auto"/>
        <w:jc w:val="center"/>
        <w:rPr>
          <w:rFonts w:ascii="Times New Roman" w:hAnsi="Times New Roman"/>
          <w:b/>
          <w:bCs/>
          <w:sz w:val="24"/>
          <w:szCs w:val="24"/>
        </w:rPr>
      </w:pPr>
      <w:r w:rsidRPr="00246698">
        <w:rPr>
          <w:rFonts w:ascii="Times New Roman" w:hAnsi="Times New Roman"/>
          <w:b/>
          <w:bCs/>
          <w:sz w:val="24"/>
          <w:szCs w:val="24"/>
        </w:rPr>
        <w:t>Gestión educativa y reconocimiento oficial de estudios superiores en México: validez de estudios, titulación y cédulas profesionales</w:t>
      </w:r>
    </w:p>
    <w:p w14:paraId="03BCEF79" w14:textId="1416D51A" w:rsidR="003E2548" w:rsidRPr="00D008BD" w:rsidRDefault="00D008BD" w:rsidP="003E2548">
      <w:pPr>
        <w:spacing w:before="240" w:after="120" w:line="240" w:lineRule="auto"/>
        <w:jc w:val="center"/>
        <w:rPr>
          <w:rFonts w:ascii="Times New Roman" w:hAnsi="Times New Roman"/>
          <w:i/>
          <w:iCs/>
          <w:sz w:val="24"/>
          <w:szCs w:val="24"/>
          <w:lang w:val="en-US"/>
        </w:rPr>
      </w:pPr>
      <w:r w:rsidRPr="00F0268F">
        <w:rPr>
          <w:rFonts w:ascii="Times New Roman" w:hAnsi="Times New Roman"/>
          <w:i/>
          <w:iCs/>
          <w:sz w:val="24"/>
          <w:szCs w:val="24"/>
          <w:lang w:val="en-US"/>
        </w:rPr>
        <w:t xml:space="preserve">Educational </w:t>
      </w:r>
      <w:r w:rsidR="00800280" w:rsidRPr="00F0268F">
        <w:rPr>
          <w:rFonts w:ascii="Times New Roman" w:hAnsi="Times New Roman"/>
          <w:i/>
          <w:iCs/>
          <w:sz w:val="24"/>
          <w:szCs w:val="24"/>
          <w:lang w:val="en-US"/>
        </w:rPr>
        <w:t xml:space="preserve">management and official recognition of higher education studies in Mexico: academic validation, degree awarding, and professional licensing </w:t>
      </w:r>
    </w:p>
    <w:p w14:paraId="38FC5E2C" w14:textId="77777777" w:rsidR="00A1550C" w:rsidRPr="00FD64D8" w:rsidRDefault="00A1550C" w:rsidP="00A1550C">
      <w:pPr>
        <w:spacing w:line="240" w:lineRule="auto"/>
        <w:rPr>
          <w:rFonts w:ascii="Times New Roman" w:hAnsi="Times New Roman"/>
          <w:lang w:val="en-US"/>
        </w:rPr>
      </w:pPr>
    </w:p>
    <w:p w14:paraId="7BE186DB" w14:textId="1D53F575" w:rsidR="00A1550C" w:rsidRPr="00FD64D8" w:rsidRDefault="00A1550C" w:rsidP="00A1550C">
      <w:pPr>
        <w:spacing w:line="240" w:lineRule="auto"/>
        <w:rPr>
          <w:rFonts w:ascii="Times New Roman" w:hAnsi="Times New Roman"/>
          <w:lang w:val="en-US"/>
        </w:rPr>
        <w:sectPr w:rsidR="00A1550C" w:rsidRPr="00FD64D8" w:rsidSect="004D0FC8">
          <w:headerReference w:type="even" r:id="rId11"/>
          <w:headerReference w:type="default" r:id="rId12"/>
          <w:footerReference w:type="even" r:id="rId13"/>
          <w:footerReference w:type="default" r:id="rId14"/>
          <w:footerReference w:type="first" r:id="rId15"/>
          <w:pgSz w:w="11906" w:h="16838" w:code="9"/>
          <w:pgMar w:top="1417" w:right="1701" w:bottom="1417" w:left="1701" w:header="850" w:footer="850" w:gutter="0"/>
          <w:pgNumType w:start="90"/>
          <w:cols w:space="708"/>
          <w:titlePg/>
          <w:docGrid w:linePitch="360"/>
        </w:sectPr>
      </w:pPr>
    </w:p>
    <w:p w14:paraId="6FBCBB5E" w14:textId="0AB6931A" w:rsidR="00307AA5" w:rsidRPr="00307AA5" w:rsidRDefault="00CB0D27" w:rsidP="00307AA5">
      <w:pPr>
        <w:spacing w:before="120" w:after="120" w:line="240" w:lineRule="auto"/>
        <w:rPr>
          <w:rFonts w:ascii="Times New Roman" w:hAnsi="Times New Roman"/>
          <w:iCs/>
          <w:sz w:val="24"/>
          <w:szCs w:val="24"/>
          <w:lang w:val="es-PE"/>
        </w:rPr>
      </w:pPr>
      <w:r w:rsidRPr="00307AA5">
        <w:rPr>
          <w:rFonts w:ascii="Times New Roman" w:hAnsi="Times New Roman"/>
          <w:iCs/>
          <w:sz w:val="24"/>
          <w:szCs w:val="24"/>
          <w:lang w:val="es-PE"/>
        </w:rPr>
        <w:t xml:space="preserve">Recibido: </w:t>
      </w:r>
      <w:r w:rsidR="00651C0A" w:rsidRPr="00307AA5">
        <w:rPr>
          <w:rFonts w:ascii="Times New Roman" w:hAnsi="Times New Roman"/>
          <w:iCs/>
          <w:sz w:val="24"/>
          <w:szCs w:val="24"/>
          <w:lang w:val="es-PE"/>
        </w:rPr>
        <w:t>24</w:t>
      </w:r>
      <w:r w:rsidRPr="00307AA5">
        <w:rPr>
          <w:rFonts w:ascii="Times New Roman" w:hAnsi="Times New Roman"/>
          <w:iCs/>
          <w:sz w:val="24"/>
          <w:szCs w:val="24"/>
          <w:lang w:val="es-PE"/>
        </w:rPr>
        <w:t xml:space="preserve"> de </w:t>
      </w:r>
      <w:r w:rsidR="00651C0A" w:rsidRPr="00307AA5">
        <w:rPr>
          <w:rFonts w:ascii="Times New Roman" w:hAnsi="Times New Roman"/>
          <w:iCs/>
          <w:sz w:val="24"/>
          <w:szCs w:val="24"/>
          <w:lang w:val="es-PE"/>
        </w:rPr>
        <w:t>noviembre</w:t>
      </w:r>
      <w:r w:rsidRPr="00307AA5">
        <w:rPr>
          <w:rFonts w:ascii="Times New Roman" w:hAnsi="Times New Roman"/>
          <w:iCs/>
          <w:sz w:val="24"/>
          <w:szCs w:val="24"/>
          <w:lang w:val="es-PE"/>
        </w:rPr>
        <w:t xml:space="preserve"> </w:t>
      </w:r>
      <w:proofErr w:type="gramStart"/>
      <w:r w:rsidRPr="00307AA5">
        <w:rPr>
          <w:rFonts w:ascii="Times New Roman" w:hAnsi="Times New Roman"/>
          <w:iCs/>
          <w:sz w:val="24"/>
          <w:szCs w:val="24"/>
          <w:lang w:val="es-PE"/>
        </w:rPr>
        <w:t>202</w:t>
      </w:r>
      <w:r w:rsidR="00651C0A" w:rsidRPr="00307AA5">
        <w:rPr>
          <w:rFonts w:ascii="Times New Roman" w:hAnsi="Times New Roman"/>
          <w:iCs/>
          <w:sz w:val="24"/>
          <w:szCs w:val="24"/>
          <w:lang w:val="es-PE"/>
        </w:rPr>
        <w:t>4</w:t>
      </w:r>
      <w:r w:rsidR="00307AA5" w:rsidRPr="00307AA5">
        <w:rPr>
          <w:rFonts w:ascii="Times New Roman" w:hAnsi="Times New Roman"/>
          <w:iCs/>
          <w:sz w:val="24"/>
          <w:szCs w:val="24"/>
          <w:lang w:val="es-PE"/>
        </w:rPr>
        <w:t xml:space="preserve">  </w:t>
      </w:r>
      <w:r w:rsidR="00307AA5" w:rsidRPr="00307AA5">
        <w:rPr>
          <w:rFonts w:ascii="Times New Roman" w:hAnsi="Times New Roman"/>
          <w:iCs/>
          <w:sz w:val="24"/>
          <w:szCs w:val="24"/>
          <w:lang w:val="es-PE"/>
        </w:rPr>
        <w:tab/>
      </w:r>
      <w:proofErr w:type="gramEnd"/>
      <w:r w:rsidR="00307AA5" w:rsidRPr="00307AA5">
        <w:rPr>
          <w:rFonts w:ascii="Times New Roman" w:hAnsi="Times New Roman"/>
          <w:iCs/>
          <w:sz w:val="24"/>
          <w:szCs w:val="24"/>
          <w:lang w:val="es-PE"/>
        </w:rPr>
        <w:tab/>
        <w:t xml:space="preserve">         </w:t>
      </w:r>
      <w:r w:rsidR="00307AA5">
        <w:rPr>
          <w:rFonts w:ascii="Times New Roman" w:hAnsi="Times New Roman"/>
          <w:iCs/>
          <w:sz w:val="24"/>
          <w:szCs w:val="24"/>
          <w:lang w:val="es-PE"/>
        </w:rPr>
        <w:t xml:space="preserve">          </w:t>
      </w:r>
      <w:r w:rsidR="00307AA5" w:rsidRPr="00307AA5">
        <w:rPr>
          <w:rFonts w:ascii="Times New Roman" w:hAnsi="Times New Roman"/>
          <w:b/>
          <w:iCs/>
          <w:sz w:val="24"/>
          <w:szCs w:val="24"/>
          <w:lang w:val="es-PE"/>
        </w:rPr>
        <w:t>José Antonio Villalobos López</w:t>
      </w:r>
    </w:p>
    <w:p w14:paraId="409E7EAD" w14:textId="4AF7CC41" w:rsidR="00307AA5" w:rsidRPr="00307AA5" w:rsidRDefault="00CB0D27" w:rsidP="00307AA5">
      <w:pPr>
        <w:spacing w:before="120" w:after="120" w:line="240" w:lineRule="auto"/>
        <w:rPr>
          <w:rFonts w:ascii="Times New Roman" w:hAnsi="Times New Roman"/>
          <w:iCs/>
          <w:sz w:val="24"/>
          <w:szCs w:val="24"/>
          <w:lang w:val="es-PE"/>
        </w:rPr>
      </w:pPr>
      <w:r w:rsidRPr="00307AA5">
        <w:rPr>
          <w:rFonts w:ascii="Times New Roman" w:hAnsi="Times New Roman"/>
          <w:iCs/>
          <w:sz w:val="24"/>
          <w:szCs w:val="24"/>
          <w:lang w:val="es-PE"/>
        </w:rPr>
        <w:t xml:space="preserve">Evaluado: </w:t>
      </w:r>
      <w:r w:rsidR="00651C0A" w:rsidRPr="00307AA5">
        <w:rPr>
          <w:rFonts w:ascii="Times New Roman" w:hAnsi="Times New Roman"/>
          <w:iCs/>
          <w:sz w:val="24"/>
          <w:szCs w:val="24"/>
          <w:lang w:val="es-PE"/>
        </w:rPr>
        <w:t>19</w:t>
      </w:r>
      <w:r w:rsidRPr="00307AA5">
        <w:rPr>
          <w:rFonts w:ascii="Times New Roman" w:hAnsi="Times New Roman"/>
          <w:iCs/>
          <w:sz w:val="24"/>
          <w:szCs w:val="24"/>
          <w:lang w:val="es-PE"/>
        </w:rPr>
        <w:t xml:space="preserve"> de febrero 2025 </w:t>
      </w:r>
      <w:r w:rsidR="00307AA5">
        <w:rPr>
          <w:rFonts w:ascii="Times New Roman" w:hAnsi="Times New Roman"/>
          <w:iCs/>
          <w:sz w:val="24"/>
          <w:szCs w:val="24"/>
          <w:lang w:val="es-PE"/>
        </w:rPr>
        <w:t xml:space="preserve">     </w:t>
      </w:r>
      <w:bookmarkStart w:id="7" w:name="_Hlk237533949"/>
      <w:r w:rsidR="00307AA5" w:rsidRPr="00307AA5">
        <w:rPr>
          <w:rFonts w:ascii="Times New Roman" w:hAnsi="Times New Roman"/>
          <w:b/>
          <w:iCs/>
          <w:sz w:val="24"/>
          <w:szCs w:val="24"/>
          <w:lang w:val="es-PE"/>
        </w:rPr>
        <w:t>Correspondencia:</w:t>
      </w:r>
      <w:bookmarkEnd w:id="7"/>
      <w:r w:rsidR="00307AA5" w:rsidRPr="00307AA5">
        <w:rPr>
          <w:rFonts w:ascii="Times New Roman" w:hAnsi="Times New Roman"/>
          <w:b/>
          <w:iCs/>
          <w:sz w:val="24"/>
          <w:szCs w:val="24"/>
          <w:lang w:val="es-PE"/>
        </w:rPr>
        <w:t xml:space="preserve"> </w:t>
      </w:r>
      <w:hyperlink r:id="rId16" w:history="1">
        <w:r w:rsidR="00307AA5" w:rsidRPr="00307AA5">
          <w:rPr>
            <w:rFonts w:ascii="Times New Roman" w:hAnsi="Times New Roman"/>
            <w:iCs/>
            <w:sz w:val="24"/>
            <w:szCs w:val="24"/>
            <w:lang w:val="es-PE"/>
          </w:rPr>
          <w:t>jvillalobosl7500@egresado.ipn.mx</w:t>
        </w:r>
      </w:hyperlink>
    </w:p>
    <w:p w14:paraId="2297B9F0" w14:textId="1AE49AA7" w:rsidR="00DC34F6" w:rsidRPr="00307AA5" w:rsidRDefault="00307AA5" w:rsidP="00307AA5">
      <w:pPr>
        <w:spacing w:before="120" w:after="120" w:line="240" w:lineRule="auto"/>
        <w:rPr>
          <w:rFonts w:ascii="Times New Roman" w:hAnsi="Times New Roman"/>
          <w:iCs/>
          <w:sz w:val="24"/>
          <w:szCs w:val="24"/>
          <w:lang w:val="es-PE"/>
        </w:rPr>
      </w:pPr>
      <w:r w:rsidRPr="00307AA5">
        <w:rPr>
          <w:rFonts w:ascii="Times New Roman" w:hAnsi="Times New Roman"/>
          <w:iCs/>
          <w:sz w:val="24"/>
          <w:szCs w:val="24"/>
          <w:lang w:val="es-PE"/>
        </w:rPr>
        <w:t xml:space="preserve">Aceptado: 15 de abril 2025              </w:t>
      </w:r>
      <w:r>
        <w:rPr>
          <w:rFonts w:ascii="Times New Roman" w:hAnsi="Times New Roman"/>
          <w:iCs/>
          <w:sz w:val="24"/>
          <w:szCs w:val="24"/>
          <w:lang w:val="es-PE"/>
        </w:rPr>
        <w:t xml:space="preserve">                     </w:t>
      </w:r>
      <w:hyperlink r:id="rId17" w:history="1">
        <w:r w:rsidR="00DC34F6" w:rsidRPr="00307AA5">
          <w:rPr>
            <w:rFonts w:ascii="Times New Roman" w:hAnsi="Times New Roman"/>
            <w:iCs/>
            <w:sz w:val="24"/>
            <w:szCs w:val="24"/>
            <w:lang w:val="es-PE"/>
          </w:rPr>
          <w:t>https://orcid.org/0000-0001-5198-6058</w:t>
        </w:r>
      </w:hyperlink>
    </w:p>
    <w:p w14:paraId="4CC4FCA6" w14:textId="53576E40" w:rsidR="00307AA5" w:rsidRPr="00407CEF" w:rsidRDefault="00E520AA" w:rsidP="00307AA5">
      <w:pPr>
        <w:spacing w:before="120" w:after="120" w:line="240" w:lineRule="auto"/>
        <w:jc w:val="right"/>
        <w:rPr>
          <w:rFonts w:ascii="Times New Roman" w:hAnsi="Times New Roman"/>
          <w:iCs/>
          <w:sz w:val="24"/>
          <w:szCs w:val="24"/>
          <w:lang w:val="es-PE"/>
        </w:rPr>
      </w:pPr>
      <w:r w:rsidRPr="00407CEF">
        <w:rPr>
          <w:rFonts w:ascii="Times New Roman" w:hAnsi="Times New Roman"/>
          <w:iCs/>
          <w:sz w:val="24"/>
          <w:szCs w:val="24"/>
          <w:lang w:val="es-PE"/>
        </w:rPr>
        <w:t>Instituto Politécnico Nacional</w:t>
      </w:r>
      <w:r w:rsidR="004A48CD">
        <w:rPr>
          <w:rFonts w:ascii="Times New Roman" w:hAnsi="Times New Roman"/>
          <w:iCs/>
          <w:sz w:val="24"/>
          <w:szCs w:val="24"/>
          <w:lang w:val="es-PE"/>
        </w:rPr>
        <w:t>.</w:t>
      </w:r>
      <w:r w:rsidRPr="00407CEF">
        <w:rPr>
          <w:rFonts w:ascii="Times New Roman" w:hAnsi="Times New Roman"/>
          <w:iCs/>
          <w:sz w:val="24"/>
          <w:szCs w:val="24"/>
          <w:lang w:val="es-PE"/>
        </w:rPr>
        <w:t xml:space="preserve"> Escuela Superior de Economía</w:t>
      </w:r>
      <w:r w:rsidR="00CB0D27" w:rsidRPr="00407CEF">
        <w:rPr>
          <w:rFonts w:ascii="Times New Roman" w:hAnsi="Times New Roman"/>
          <w:iCs/>
          <w:sz w:val="24"/>
          <w:szCs w:val="24"/>
          <w:lang w:val="es-PE"/>
        </w:rPr>
        <w:t xml:space="preserve">, </w:t>
      </w:r>
    </w:p>
    <w:p w14:paraId="439CD5AA" w14:textId="609199C5" w:rsidR="00E520AA" w:rsidRPr="00407CEF" w:rsidRDefault="0012291C" w:rsidP="00307AA5">
      <w:pPr>
        <w:spacing w:before="120" w:after="120" w:line="240" w:lineRule="auto"/>
        <w:jc w:val="right"/>
        <w:rPr>
          <w:rFonts w:ascii="Times New Roman" w:hAnsi="Times New Roman"/>
          <w:i/>
          <w:iCs/>
          <w:sz w:val="24"/>
          <w:szCs w:val="24"/>
          <w:lang w:val="es-PE"/>
        </w:rPr>
      </w:pPr>
      <w:r w:rsidRPr="00407CEF">
        <w:rPr>
          <w:rFonts w:ascii="Times New Roman" w:hAnsi="Times New Roman"/>
          <w:iCs/>
          <w:sz w:val="24"/>
          <w:szCs w:val="24"/>
          <w:lang w:val="es-PE"/>
        </w:rPr>
        <w:t xml:space="preserve">Ciudad de México, </w:t>
      </w:r>
      <w:r w:rsidR="00CB0D27" w:rsidRPr="00407CEF">
        <w:rPr>
          <w:rFonts w:ascii="Times New Roman" w:hAnsi="Times New Roman"/>
          <w:iCs/>
          <w:sz w:val="24"/>
          <w:szCs w:val="24"/>
          <w:lang w:val="es-PE"/>
        </w:rPr>
        <w:t>México</w:t>
      </w:r>
      <w:r w:rsidR="00CB0D27" w:rsidRPr="00407CEF">
        <w:rPr>
          <w:rFonts w:ascii="Times New Roman" w:hAnsi="Times New Roman"/>
          <w:i/>
          <w:iCs/>
          <w:sz w:val="24"/>
          <w:szCs w:val="24"/>
          <w:lang w:val="es-PE"/>
        </w:rPr>
        <w:t>.</w:t>
      </w:r>
    </w:p>
    <w:p w14:paraId="0231D77E" w14:textId="77777777" w:rsidR="00A1550C" w:rsidRDefault="00A1550C" w:rsidP="00A1550C">
      <w:pPr>
        <w:shd w:val="clear" w:color="auto" w:fill="FFFFFF"/>
        <w:spacing w:line="240" w:lineRule="auto"/>
        <w:rPr>
          <w:rFonts w:ascii="Times New Roman" w:eastAsia="Times New Roman" w:hAnsi="Times New Roman"/>
          <w:sz w:val="24"/>
          <w:szCs w:val="24"/>
          <w:lang w:val="es-PE" w:eastAsia="es-PE"/>
        </w:rPr>
        <w:sectPr w:rsidR="00A1550C" w:rsidSect="00307AA5">
          <w:type w:val="continuous"/>
          <w:pgSz w:w="11906" w:h="16838" w:code="9"/>
          <w:pgMar w:top="1417" w:right="1701" w:bottom="1417" w:left="1701" w:header="850" w:footer="850" w:gutter="0"/>
          <w:pgNumType w:start="99"/>
          <w:cols w:space="1982"/>
          <w:titlePg/>
          <w:docGrid w:linePitch="360"/>
        </w:sectPr>
      </w:pPr>
    </w:p>
    <w:p w14:paraId="63DD434E" w14:textId="15FF677D" w:rsidR="0012291C" w:rsidRDefault="0012291C" w:rsidP="00A1550C">
      <w:pPr>
        <w:shd w:val="clear" w:color="auto" w:fill="FFFFFF"/>
        <w:spacing w:line="240" w:lineRule="auto"/>
        <w:rPr>
          <w:rFonts w:ascii="Times New Roman" w:eastAsia="Times New Roman" w:hAnsi="Times New Roman"/>
          <w:sz w:val="24"/>
          <w:szCs w:val="24"/>
          <w:lang w:val="es-PE" w:eastAsia="es-PE"/>
        </w:rPr>
      </w:pPr>
    </w:p>
    <w:p w14:paraId="070279D3" w14:textId="6E4CC659" w:rsidR="00AC70C2" w:rsidRPr="00F66A62" w:rsidRDefault="00557563" w:rsidP="00F66A62">
      <w:pPr>
        <w:tabs>
          <w:tab w:val="left" w:pos="-720"/>
          <w:tab w:val="left" w:pos="3315"/>
          <w:tab w:val="center" w:pos="4394"/>
        </w:tabs>
        <w:suppressAutoHyphens/>
        <w:spacing w:before="120" w:after="120" w:line="360" w:lineRule="auto"/>
        <w:ind w:right="-284"/>
        <w:rPr>
          <w:rFonts w:ascii="Times New Roman" w:hAnsi="Times New Roman"/>
          <w:b/>
          <w:bCs/>
          <w:sz w:val="24"/>
          <w:szCs w:val="24"/>
          <w:lang w:val="es-PE"/>
        </w:rPr>
      </w:pPr>
      <w:r w:rsidRPr="00F66A62">
        <w:rPr>
          <w:rFonts w:ascii="Times New Roman" w:hAnsi="Times New Roman"/>
          <w:b/>
          <w:sz w:val="24"/>
          <w:szCs w:val="24"/>
        </w:rPr>
        <w:t xml:space="preserve">                                                             </w:t>
      </w:r>
      <w:r w:rsidR="00053B53" w:rsidRPr="00F66A62">
        <w:rPr>
          <w:rFonts w:ascii="Times New Roman" w:hAnsi="Times New Roman"/>
          <w:b/>
          <w:bCs/>
          <w:sz w:val="24"/>
          <w:szCs w:val="24"/>
          <w:lang w:val="es-PE"/>
        </w:rPr>
        <w:t>R</w:t>
      </w:r>
      <w:r w:rsidR="003B27CE" w:rsidRPr="00F66A62">
        <w:rPr>
          <w:rFonts w:ascii="Times New Roman" w:hAnsi="Times New Roman"/>
          <w:b/>
          <w:bCs/>
          <w:sz w:val="24"/>
          <w:szCs w:val="24"/>
          <w:lang w:val="es-PE"/>
        </w:rPr>
        <w:t>esumen</w:t>
      </w:r>
    </w:p>
    <w:p w14:paraId="6D2255A8" w14:textId="2E612371" w:rsidR="006D5957" w:rsidRPr="00307AA5" w:rsidRDefault="00897684"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 xml:space="preserve">El presente estudio tuvo como propósito analizar la gestión educativa y el reconocimiento oficial de estudios superiores en México, con énfasis en la validez de los estudios, la titulación universitaria y la expedición de cédulas profesionales, considerando las implicaciones generadas por la coexistencia de esquemas federales y estatales. Metodológicamente, se desarrolló una investigación cualitativa de tipo documental, con orientación analítico-interpretativa y sustentada en el método hermenéutico-analítico. El corpus estuvo conformado por 42 documentos normativos e institucionales, así como literatura académica relevante publicada entre 2015 y 2024, seleccionada mediante criterios de pertinencia y vigencia. El análisis se realizó en cuatro fases: recopilación, clasificación temática, comparación normativa e integración interpretativa mediante una matriz analítica, complementada con triangulación de fuentes para fortalecer la trazabilidad y consistencia del estudio. Los hallazgos evidencian que la ruptura de la coordinación nacional en la expedición de cédulas profesionales desde 2018 ha generado confusión normativa, vacíos regulatorios y conflictos de competencia entre la Federación y diversas entidades federativas, con efectos directos en los procesos de certificación profesional. En conclusión, se requiere una reforma legal integral que restablezca la </w:t>
      </w:r>
      <w:r w:rsidRPr="00F66A62">
        <w:rPr>
          <w:rFonts w:ascii="Times New Roman" w:hAnsi="Times New Roman"/>
          <w:sz w:val="24"/>
          <w:szCs w:val="24"/>
        </w:rPr>
        <w:lastRenderedPageBreak/>
        <w:t>coherencia del sistema, garantice seguridad jurídica y fortalezca la unidad administrativa del reconocimiento profesional en México.</w:t>
      </w:r>
    </w:p>
    <w:p w14:paraId="2A16493B" w14:textId="07193567" w:rsidR="00DA5A35" w:rsidRPr="00F66A62" w:rsidRDefault="00053B53" w:rsidP="00F66A62">
      <w:pPr>
        <w:spacing w:before="120" w:after="120" w:line="360" w:lineRule="auto"/>
        <w:jc w:val="both"/>
        <w:rPr>
          <w:rFonts w:ascii="Times New Roman" w:hAnsi="Times New Roman"/>
          <w:b/>
          <w:i/>
          <w:iCs/>
          <w:sz w:val="24"/>
          <w:szCs w:val="24"/>
          <w:lang w:val="es-PE"/>
        </w:rPr>
      </w:pPr>
      <w:r w:rsidRPr="00F66A62">
        <w:rPr>
          <w:rFonts w:ascii="Times New Roman" w:hAnsi="Times New Roman"/>
          <w:b/>
          <w:sz w:val="24"/>
          <w:szCs w:val="24"/>
          <w:lang w:val="es-PE"/>
        </w:rPr>
        <w:t>P</w:t>
      </w:r>
      <w:r w:rsidR="003B27CE" w:rsidRPr="00F66A62">
        <w:rPr>
          <w:rFonts w:ascii="Times New Roman" w:hAnsi="Times New Roman"/>
          <w:b/>
          <w:sz w:val="24"/>
          <w:szCs w:val="24"/>
          <w:lang w:val="es-PE"/>
        </w:rPr>
        <w:t xml:space="preserve">alabras clave: </w:t>
      </w:r>
      <w:r w:rsidR="005F572C" w:rsidRPr="00F66A62">
        <w:rPr>
          <w:rFonts w:ascii="Times New Roman" w:hAnsi="Times New Roman"/>
          <w:i/>
          <w:iCs/>
          <w:sz w:val="24"/>
          <w:szCs w:val="24"/>
        </w:rPr>
        <w:t>educación</w:t>
      </w:r>
      <w:r w:rsidR="00F6607B" w:rsidRPr="00F66A62">
        <w:rPr>
          <w:rFonts w:ascii="Times New Roman" w:hAnsi="Times New Roman"/>
          <w:i/>
          <w:iCs/>
          <w:sz w:val="24"/>
          <w:szCs w:val="24"/>
        </w:rPr>
        <w:t xml:space="preserve"> superior, enseñanza universitaria, reconocimiento de estudios, título de grado.</w:t>
      </w:r>
      <w:r w:rsidR="00F6607B" w:rsidRPr="00F66A62">
        <w:rPr>
          <w:rFonts w:ascii="Times New Roman" w:hAnsi="Times New Roman"/>
          <w:b/>
          <w:i/>
          <w:iCs/>
          <w:sz w:val="24"/>
          <w:szCs w:val="24"/>
          <w:lang w:val="es-PE"/>
        </w:rPr>
        <w:t xml:space="preserve"> </w:t>
      </w:r>
    </w:p>
    <w:p w14:paraId="1DA08FC3" w14:textId="71DB4C78" w:rsidR="00644E54" w:rsidRPr="00F66A62" w:rsidRDefault="00053B53" w:rsidP="00F66A62">
      <w:pPr>
        <w:spacing w:before="120" w:after="120" w:line="360" w:lineRule="auto"/>
        <w:jc w:val="center"/>
        <w:rPr>
          <w:rFonts w:ascii="Times New Roman" w:hAnsi="Times New Roman"/>
          <w:b/>
          <w:bCs/>
          <w:sz w:val="24"/>
          <w:szCs w:val="24"/>
          <w:lang w:val="en-US"/>
        </w:rPr>
      </w:pPr>
      <w:r w:rsidRPr="00F66A62">
        <w:rPr>
          <w:rFonts w:ascii="Times New Roman" w:hAnsi="Times New Roman"/>
          <w:b/>
          <w:bCs/>
          <w:sz w:val="24"/>
          <w:szCs w:val="24"/>
          <w:lang w:val="en-US"/>
        </w:rPr>
        <w:t>A</w:t>
      </w:r>
      <w:r w:rsidR="003B27CE" w:rsidRPr="00F66A62">
        <w:rPr>
          <w:rFonts w:ascii="Times New Roman" w:hAnsi="Times New Roman"/>
          <w:b/>
          <w:bCs/>
          <w:sz w:val="24"/>
          <w:szCs w:val="24"/>
          <w:lang w:val="en-US"/>
        </w:rPr>
        <w:t>bstract</w:t>
      </w:r>
    </w:p>
    <w:p w14:paraId="6A18895A" w14:textId="1F3BED42" w:rsidR="00897684" w:rsidRPr="00F66A62" w:rsidRDefault="00897684" w:rsidP="00F66A62">
      <w:pPr>
        <w:spacing w:before="120" w:after="120" w:line="360" w:lineRule="auto"/>
        <w:jc w:val="both"/>
        <w:rPr>
          <w:rFonts w:ascii="Times New Roman" w:hAnsi="Times New Roman"/>
          <w:sz w:val="24"/>
          <w:szCs w:val="24"/>
          <w:lang w:val="en-US"/>
        </w:rPr>
      </w:pPr>
      <w:r w:rsidRPr="00F66A62">
        <w:rPr>
          <w:rFonts w:ascii="Times New Roman" w:hAnsi="Times New Roman"/>
          <w:sz w:val="24"/>
          <w:szCs w:val="24"/>
          <w:lang w:val="en-US"/>
        </w:rPr>
        <w:t>This study aimed to analyze educational management and the official recognition of higher education studies in Mexico, with emphasis on the validity of academic programs, university degree awarding, and the issuance of professional licenses, considering the implications arising from the coexistence of federal and state-level schemes. Methodologically, a qualitative documentary research design was adopted, with an analytical-interpretative orientation and grounded in the hermeneutic-analytical method. The corpus consisted of 42 normative and institutional documents, as well as relevant academic literature published between 2015 and 2024, selected based on criteria of relevance and regulatory validity. The analysis was conducted in four phases: document collection, thematic classification, normative comparison, and interpretative integration through an analytical matrix, complemented by source triangulation to strengthen traceability and analytical consistency. The findings show that the breakdown of national coordination in the issuance of professional licenses since 2018 has generated regulatory confusion, legal gaps, and jurisdictional conflicts between the federal government and several states, directly affecting professional certification processes. In conclusion, a comprehensive legal reform is required to restore system coherence, ensure legal certainty, and strengthen the administrative unity of professional recognition in Mexico.</w:t>
      </w:r>
    </w:p>
    <w:p w14:paraId="347704A1" w14:textId="4A5A231A" w:rsidR="00DA5A35" w:rsidRPr="00F66A62" w:rsidRDefault="00053B53" w:rsidP="00F66A62">
      <w:pPr>
        <w:spacing w:before="120" w:after="120" w:line="360" w:lineRule="auto"/>
        <w:jc w:val="both"/>
        <w:rPr>
          <w:rStyle w:val="hps"/>
          <w:rFonts w:ascii="Times New Roman" w:hAnsi="Times New Roman"/>
          <w:i/>
          <w:iCs/>
          <w:sz w:val="24"/>
          <w:szCs w:val="24"/>
          <w:lang w:val="en-US"/>
        </w:rPr>
      </w:pPr>
      <w:r w:rsidRPr="00F66A62">
        <w:rPr>
          <w:rStyle w:val="hps"/>
          <w:rFonts w:ascii="Times New Roman" w:hAnsi="Times New Roman"/>
          <w:b/>
          <w:sz w:val="24"/>
          <w:szCs w:val="24"/>
          <w:lang w:val="en-US"/>
        </w:rPr>
        <w:t>K</w:t>
      </w:r>
      <w:r w:rsidR="003B27CE" w:rsidRPr="00F66A62">
        <w:rPr>
          <w:rStyle w:val="hps"/>
          <w:rFonts w:ascii="Times New Roman" w:hAnsi="Times New Roman"/>
          <w:b/>
          <w:sz w:val="24"/>
          <w:szCs w:val="24"/>
          <w:lang w:val="en-US"/>
        </w:rPr>
        <w:t>eywords</w:t>
      </w:r>
      <w:r w:rsidR="00DA5A35" w:rsidRPr="00F66A62">
        <w:rPr>
          <w:rStyle w:val="hps"/>
          <w:rFonts w:ascii="Times New Roman" w:hAnsi="Times New Roman"/>
          <w:sz w:val="24"/>
          <w:szCs w:val="24"/>
          <w:lang w:val="en-US"/>
        </w:rPr>
        <w:t xml:space="preserve">: </w:t>
      </w:r>
      <w:r w:rsidR="004B6323" w:rsidRPr="00F66A62">
        <w:rPr>
          <w:rStyle w:val="hps"/>
          <w:rFonts w:ascii="Times New Roman" w:hAnsi="Times New Roman"/>
          <w:i/>
          <w:iCs/>
          <w:sz w:val="24"/>
          <w:szCs w:val="24"/>
          <w:lang w:val="en-US"/>
        </w:rPr>
        <w:t>d</w:t>
      </w:r>
      <w:r w:rsidR="00F6607B" w:rsidRPr="00F66A62">
        <w:rPr>
          <w:rFonts w:ascii="Times New Roman" w:hAnsi="Times New Roman"/>
          <w:i/>
          <w:iCs/>
          <w:sz w:val="24"/>
          <w:szCs w:val="24"/>
          <w:lang w:val="en-US"/>
        </w:rPr>
        <w:t>egree, higher education, recognition of studies, university education.</w:t>
      </w:r>
      <w:r w:rsidR="00F6607B" w:rsidRPr="00F66A62">
        <w:rPr>
          <w:rStyle w:val="hps"/>
          <w:rFonts w:ascii="Times New Roman" w:hAnsi="Times New Roman"/>
          <w:i/>
          <w:iCs/>
          <w:sz w:val="24"/>
          <w:szCs w:val="24"/>
          <w:lang w:val="en-US"/>
        </w:rPr>
        <w:t xml:space="preserve"> </w:t>
      </w:r>
    </w:p>
    <w:p w14:paraId="555A697C" w14:textId="77777777" w:rsidR="00CB0D27" w:rsidRPr="00F66A62" w:rsidRDefault="00CB0D27" w:rsidP="00F66A62">
      <w:pPr>
        <w:pStyle w:val="Prrafodelista"/>
        <w:spacing w:before="120" w:after="120" w:line="360" w:lineRule="auto"/>
        <w:ind w:left="0"/>
        <w:rPr>
          <w:rFonts w:ascii="Times New Roman" w:hAnsi="Times New Roman"/>
          <w:b/>
          <w:bCs/>
          <w:sz w:val="24"/>
          <w:szCs w:val="24"/>
          <w:lang w:val="en-US"/>
        </w:rPr>
      </w:pPr>
    </w:p>
    <w:p w14:paraId="088D995C" w14:textId="66D052C0" w:rsidR="005F4291" w:rsidRPr="00F66A62" w:rsidRDefault="00053B53" w:rsidP="00F66A62">
      <w:pPr>
        <w:pStyle w:val="Prrafodelista"/>
        <w:spacing w:before="120" w:after="120" w:line="360" w:lineRule="auto"/>
        <w:ind w:left="0"/>
        <w:jc w:val="center"/>
        <w:rPr>
          <w:rFonts w:ascii="Times New Roman" w:hAnsi="Times New Roman"/>
          <w:b/>
          <w:bCs/>
          <w:sz w:val="24"/>
          <w:szCs w:val="24"/>
        </w:rPr>
      </w:pPr>
      <w:r w:rsidRPr="00F66A62">
        <w:rPr>
          <w:rFonts w:ascii="Times New Roman" w:hAnsi="Times New Roman"/>
          <w:b/>
          <w:bCs/>
          <w:sz w:val="24"/>
          <w:szCs w:val="24"/>
        </w:rPr>
        <w:t>I</w:t>
      </w:r>
      <w:r w:rsidR="003B27CE" w:rsidRPr="00F66A62">
        <w:rPr>
          <w:rFonts w:ascii="Times New Roman" w:hAnsi="Times New Roman"/>
          <w:b/>
          <w:bCs/>
          <w:sz w:val="24"/>
          <w:szCs w:val="24"/>
        </w:rPr>
        <w:t>ntroducción</w:t>
      </w:r>
    </w:p>
    <w:p w14:paraId="2FB7F901" w14:textId="557F6787" w:rsidR="00C45F39" w:rsidRPr="00F66A62" w:rsidRDefault="00C45F39"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 xml:space="preserve">En México, el proceso de culminación de los estudios de nivel superior implica no solo la finalización académica en términos curriculares, sino también el cumplimiento de una serie de requisitos administrativos y jurídicos que permiten al egresado ejercer legalmente una profesión. Tradicionalmente, este proceso se respalda en tres documentos fundamentales: el certificado de estudios, el título profesional y la cédula profesional (también denominada, en algunos contextos, patente). Cada uno de estos documentos </w:t>
      </w:r>
      <w:r w:rsidRPr="00F66A62">
        <w:rPr>
          <w:rFonts w:ascii="Times New Roman" w:hAnsi="Times New Roman"/>
          <w:sz w:val="24"/>
          <w:szCs w:val="24"/>
        </w:rPr>
        <w:lastRenderedPageBreak/>
        <w:t>cumple una función específica en el reconocimiento formal de los conocimientos adquiridos y en la habilitación legal para el ejercicio profesional.</w:t>
      </w:r>
    </w:p>
    <w:p w14:paraId="3FD85D60" w14:textId="7D5184C1"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Uno de los principales elementos de análisis en la actualidad es la emisión de la cédula profesional, un documento de carácter legal que históricamente ha sido expedido por la autoridad federal, concretamente por la Dirección General de Profesiones (DGP), adscrita a la Secretaría de Educación Pública (SEP). Sin embargo, a partir del 1 de octubre de 2018, se puso fin a los convenios de coordinación entre la SEP y los gobiernos estatales para la emisión de cédulas profesionales de orden federal. Desde entonces, algunas entidades federativas han comenzado a emitir cédulas profesionales estatales, situación que ha generado confusión jurídica y administrativa respecto de la validez, el uso y el reconocimiento de dichos documentos, tanto dentro como fuera de las entidades emisoras.</w:t>
      </w:r>
    </w:p>
    <w:p w14:paraId="6A8306B0" w14:textId="0BE2A235"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Esta modificación ha generado una disputa competencial entre los ámbitos federal y estatal, lo que plantea interrogantes sobre la validez jurídica nacional de una cédula profesional emitida por un gobierno estatal, especialmente cuando no se encuentra registrada o reconocida por la DGP. Por ello, resulta fundamental distinguir con claridad las atribuciones que la Constitución Política de los Estados Unidos Mexicanos y las leyes secundarias otorgan tanto a la federación como a los estados en materia educativa y de ejercicio profesional.</w:t>
      </w:r>
    </w:p>
    <w:p w14:paraId="3FA46D79" w14:textId="5B87F492"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Desde el punto de vista jurídico, el Registro de Validez Oficial de Estudios (RVOE) constituye otro elemento clave, en tanto es el acto mediante el cual una institución educativa obtiene autorización oficial para impartir estudios con reconocimiento federal o estatal. En este punto, también es necesario diferenciar entre RVOE federal y RVOE estatal, ya que, dependiendo de la autoridad que lo otorgue (la SEP o la autoridad educativa local), se determinan procedimientos específicos para el otorgamiento de títulos y, en consecuencia, para la expedición de la cédula profesional.</w:t>
      </w:r>
    </w:p>
    <w:p w14:paraId="00E7C0BC" w14:textId="25945AF6" w:rsid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La dispersión de facultades ha dado lugar a dificultades prácticas para los egresados, quienes enfrentan procesos burocráticos disímiles, retrasos en la emisión de sus documentos y, en ocasiones, incertidumbre sobre la validez nacional de su cédula. A ello se suman los retos tecnológicos asociados a la digitalización de los trámites, la falta de información uniforme y la limitada coordinación entre niveles de gobierno.</w:t>
      </w:r>
    </w:p>
    <w:p w14:paraId="3BE862D0" w14:textId="1D33F1DE" w:rsidR="00C45F39" w:rsidRPr="00F66A62" w:rsidRDefault="00C45F39" w:rsidP="00307AA5">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Este trabajo, por tanto, se orienta a desentrañar el entramado normativo y administrativo que regula la emisión de los documentos vinculados con la titulación </w:t>
      </w:r>
      <w:r w:rsidRPr="00F66A62">
        <w:rPr>
          <w:rFonts w:ascii="Times New Roman" w:hAnsi="Times New Roman"/>
          <w:sz w:val="24"/>
          <w:szCs w:val="24"/>
        </w:rPr>
        <w:lastRenderedPageBreak/>
        <w:t>profesional en México. Para ello, se analizarán los artículos aplicables de la Ley Reglamentaria del Artículo 5.º Constitucional, de la Ley General de Educación Superior (2021) y de los marcos normativos estatales, en contraste con políticas públicas recientes. Asimismo, se incorporarán cifras actualizadas sobre el número de cédulas emitidas a nivel estatal y federal, así como estudios de caso en entidades donde se han implementado esquemas de emisión estatal.</w:t>
      </w:r>
    </w:p>
    <w:p w14:paraId="5D2389E5" w14:textId="2B29483F"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En síntesis, se busca ofrecer una visión crítica y propositiva sobre los desafíos que enfrenta el país para garantizar una culminación integral, equitativa y jurídicamente válida de los estudios de nivel superior, con miras a preservar la seguridad jurídica y la calidad del ejercicio profesional en México.</w:t>
      </w:r>
    </w:p>
    <w:p w14:paraId="376E0935" w14:textId="77777777" w:rsidR="00C45F39" w:rsidRPr="00F66A62" w:rsidRDefault="00C45F39" w:rsidP="00F66A62">
      <w:pPr>
        <w:spacing w:before="120" w:after="120" w:line="360" w:lineRule="auto"/>
        <w:jc w:val="both"/>
        <w:rPr>
          <w:rFonts w:ascii="Times New Roman" w:hAnsi="Times New Roman"/>
          <w:b/>
          <w:bCs/>
          <w:sz w:val="24"/>
          <w:szCs w:val="24"/>
        </w:rPr>
      </w:pPr>
      <w:r w:rsidRPr="00F66A62">
        <w:rPr>
          <w:rFonts w:ascii="Times New Roman" w:hAnsi="Times New Roman"/>
          <w:b/>
          <w:bCs/>
          <w:sz w:val="24"/>
          <w:szCs w:val="24"/>
        </w:rPr>
        <w:t>Marco conceptual y legal de títulos y cédulas profesionales</w:t>
      </w:r>
    </w:p>
    <w:p w14:paraId="5FFF78B6" w14:textId="0961F633" w:rsidR="00C21E61" w:rsidRPr="00F66A62" w:rsidRDefault="00C45F39"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El artículo 3.º de la Constitución Política de los Estados Unidos Mexicanos (CPEUM, 2024) establece que todas las personas tienen derecho a la educación, y que el Estado —federación, entidades federativas y municipios— la impartirá y garantizará en sus diferentes niveles. Asimismo, de acuerdo con el segundo párrafo del propio artículo, corresponde al Estado la rectoría de la educación.</w:t>
      </w:r>
    </w:p>
    <w:p w14:paraId="7FBEE66A" w14:textId="6ACE66EE"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El primer párrafo del artículo 5.º de la CPEUM (2024) dispone que a ninguna persona se le puede impedir dedicarse a la profesión, industria, comercio o trabajo que elija, siempre que sean lícitos; mientras que en el segundo párrafo se establece: “La ley determinará en cada entidad federativa cuáles son las profesiones que necesitan título para su ejercicio, las condiciones que deban llenarse para obtenerlo y las autoridades que han de expedirlo”. Por su parte, el artículo 73 de la CPEUM (2024) establece las facultades del Congreso, y en su fracción XXV señala que los títulos expedidos por instituciones educativas reconocidas tendrán efectos en toda la República. A su vez, la fracción V del artículo 121 de la CPEUM (2024) establece que los títulos profesionales expedidos por autoridades estatales serán válidos en toda la nación mexicana.</w:t>
      </w:r>
    </w:p>
    <w:p w14:paraId="1A0B78AC" w14:textId="38FE2BBE" w:rsidR="00F66A62" w:rsidRDefault="00C45F39"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Del artículo 3.º constitucional se deriva la Ley General de Educación (LGE, 2024), la cual, en el segundo párrafo de su artículo 1.º, establece que los particulares deberán contar con autorización o reconocimiento de validez oficial para impartir educación. </w:t>
      </w:r>
    </w:p>
    <w:p w14:paraId="12D43DAE" w14:textId="77777777" w:rsidR="006D5957" w:rsidRDefault="00C45F39"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Asimismo, el artículo 141 de la LGE dispone que los estudios realizados dentro del Sistema Educativo Nacional se considerarán válidos en toda la República, y que las instituciones educativas federales y estatales podrán expedir certificados, diplomas, </w:t>
      </w:r>
    </w:p>
    <w:p w14:paraId="599A6FE2" w14:textId="76799176" w:rsidR="00C45F39" w:rsidRPr="00F66A62" w:rsidRDefault="00C45F39" w:rsidP="006D5957">
      <w:pPr>
        <w:spacing w:before="120" w:after="120" w:line="360" w:lineRule="auto"/>
        <w:jc w:val="both"/>
        <w:rPr>
          <w:rFonts w:ascii="Times New Roman" w:hAnsi="Times New Roman"/>
          <w:sz w:val="24"/>
          <w:szCs w:val="24"/>
        </w:rPr>
      </w:pPr>
      <w:r w:rsidRPr="00F66A62">
        <w:rPr>
          <w:rFonts w:ascii="Times New Roman" w:hAnsi="Times New Roman"/>
          <w:sz w:val="24"/>
          <w:szCs w:val="24"/>
        </w:rPr>
        <w:lastRenderedPageBreak/>
        <w:t>títulos o grados académicos a quienes hayan concluido sus estudios conforme a los requisitos establecidos.</w:t>
      </w:r>
    </w:p>
    <w:p w14:paraId="14C32937" w14:textId="350A5EA1"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El primer párrafo del artículo 146 de la LGE (2024) señala que los particulares podrán impartir educación —considerada un servicio público—, para lo cual deberán contar con autorización o reconocimiento otorgado por el Estado. En este marco, la LGE regula las titulaciones requeridas para el ejercicio profesional en el país y establece la exigencia del Registro de Validez Oficial de Estudios (RVOE) para las instituciones particulares que imparten educación media superior o superior.</w:t>
      </w:r>
    </w:p>
    <w:p w14:paraId="1E10DCFA" w14:textId="29308330" w:rsidR="00C45F39" w:rsidRPr="0042121B" w:rsidRDefault="0042121B" w:rsidP="0042121B">
      <w:pPr>
        <w:spacing w:before="120" w:after="120" w:line="360" w:lineRule="auto"/>
        <w:ind w:firstLine="708"/>
        <w:jc w:val="both"/>
      </w:pPr>
      <w:r w:rsidRPr="0042121B">
        <w:rPr>
          <w:rStyle w:val="Textoennegrita"/>
          <w:rFonts w:ascii="Times New Roman" w:hAnsi="Times New Roman"/>
          <w:b w:val="0"/>
          <w:sz w:val="24"/>
        </w:rPr>
        <w:t>La Dirección General de Acreditación, Incorporación y Revalidación (DGAIR, 2007)</w:t>
      </w:r>
      <w:r w:rsidRPr="0042121B">
        <w:rPr>
          <w:rFonts w:ascii="Times New Roman" w:hAnsi="Times New Roman"/>
          <w:sz w:val="24"/>
        </w:rPr>
        <w:t xml:space="preserve"> de la Secretaría de Educación Pública (SEP) señala que “la educación es un servicio público a cargo del Estado, susceptible de ser concesionado a los particulares por medio de dos diferentes actos jurídico-administrativos: la autorización y el RVOE” (p. 3).</w:t>
      </w:r>
      <w:r w:rsidRPr="0042121B">
        <w:rPr>
          <w:sz w:val="24"/>
        </w:rPr>
        <w:t xml:space="preserve"> </w:t>
      </w:r>
      <w:r w:rsidR="00C45F39" w:rsidRPr="00F66A62">
        <w:rPr>
          <w:rFonts w:ascii="Times New Roman" w:hAnsi="Times New Roman"/>
          <w:sz w:val="24"/>
          <w:szCs w:val="24"/>
        </w:rPr>
        <w:t>A su vez, la Ley General de Educación Superior (LGES, 2021) refuerza y precisa lo establecido por la LGE en materia del nivel superior. En su artículo 14, la LGES (2021) indica que los certificados, diplomas, títulos profesionales o grados académicos expedidos por particulares deberán contar previamente con un RVOE.</w:t>
      </w:r>
    </w:p>
    <w:p w14:paraId="23779296" w14:textId="77777777" w:rsidR="004F2223" w:rsidRPr="004F2223" w:rsidRDefault="004F2223" w:rsidP="006D5957">
      <w:pPr>
        <w:spacing w:before="120" w:after="120" w:line="360" w:lineRule="auto"/>
        <w:ind w:firstLine="708"/>
        <w:jc w:val="both"/>
        <w:rPr>
          <w:rFonts w:ascii="Times New Roman" w:hAnsi="Times New Roman"/>
          <w:sz w:val="24"/>
        </w:rPr>
      </w:pPr>
      <w:r w:rsidRPr="004F2223">
        <w:rPr>
          <w:rFonts w:ascii="Times New Roman" w:hAnsi="Times New Roman"/>
          <w:sz w:val="24"/>
        </w:rPr>
        <w:t xml:space="preserve">El RVOE en el nivel superior tiene como finalidad otorgar garantía y protección legal a los estudios y programas académicos cursados en instituciones educativas, con el propósito de posibilitar la obtención del título y la cédula profesional, habilitando así el ejercicio profesional. En términos normativos, el Reconocimiento de Validez Oficial de Estudios constituye el acto mediante el cual la autoridad educativa federal o estatal reconoce oficialmente un plan y programa de estudios impartido por una institución particular, permitiendo que los estudios realizados tengan validez dentro del Sistema Educativo Nacional (Ley General de Educación, 2024; Ley General de Educación Superior, 2021). </w:t>
      </w:r>
    </w:p>
    <w:p w14:paraId="569ABD3A" w14:textId="77777777" w:rsidR="00407CEF" w:rsidRPr="00407CEF" w:rsidRDefault="00407CEF" w:rsidP="00F66A62">
      <w:pPr>
        <w:spacing w:before="120" w:after="120" w:line="360" w:lineRule="auto"/>
        <w:ind w:firstLine="708"/>
        <w:jc w:val="both"/>
        <w:rPr>
          <w:rFonts w:ascii="Times New Roman" w:hAnsi="Times New Roman"/>
          <w:sz w:val="24"/>
        </w:rPr>
      </w:pPr>
      <w:r w:rsidRPr="00407CEF">
        <w:rPr>
          <w:rFonts w:ascii="Times New Roman" w:hAnsi="Times New Roman"/>
          <w:sz w:val="24"/>
        </w:rPr>
        <w:t xml:space="preserve">En México se distinguen dos tipos de RVOE: (1) federal, otorgado por la autoridad educativa federal; y (2) estatal, concedido por las autoridades educativas de las entidades federativas. Ambos poseen la misma validez dentro del Sistema Educativo Nacional, diferenciándose únicamente por la autoridad que los expide. Asimismo, el sistema mexicano de educación superior reconoce diversas formas de incorporación y reconocimiento institucional, entre ellas los programas con RVOE federal, los programas con RVOE estatal y aquellos impartidos por instituciones públicas autónomas o facultadas legalmente para incorporar estudios, como la Universidad Nacional Autónoma </w:t>
      </w:r>
      <w:r w:rsidRPr="00407CEF">
        <w:rPr>
          <w:rFonts w:ascii="Times New Roman" w:hAnsi="Times New Roman"/>
          <w:sz w:val="24"/>
        </w:rPr>
        <w:lastRenderedPageBreak/>
        <w:t xml:space="preserve">de México (UNAM), el Instituto Politécnico Nacional (IPN) y las universidades públicas estatales. </w:t>
      </w:r>
    </w:p>
    <w:p w14:paraId="716B1586" w14:textId="674683A1" w:rsidR="00C45F39" w:rsidRPr="00F66A62" w:rsidRDefault="00C45F39" w:rsidP="00407CEF">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Se observa, además, que algunos RVOE estatales no se encuentran listados en el Sistema de Reconocimiento de Validez Oficial de Estudios (SIRVOE) de la SEP. Por ello, cada entidad federativa dispone de portales propios para su consulta, sin una presentación estandarizada; en algunos casos, solo se consigna el nombre del programa con RVOE estatal en una o dos líneas, lo cual limita la verificación detallada del programa académico. En este escenario, las instituciones particulares deben equilibrar valores económicos y formativos, considerando tanto la inversión financiera como el desarrollo académico-profesional del estudiantado.</w:t>
      </w:r>
    </w:p>
    <w:p w14:paraId="40802833" w14:textId="14A2EDA8" w:rsidR="004F2223" w:rsidRPr="004F2223" w:rsidRDefault="004F2223" w:rsidP="00F66A62">
      <w:pPr>
        <w:spacing w:before="120" w:after="120" w:line="360" w:lineRule="auto"/>
        <w:ind w:firstLine="708"/>
        <w:jc w:val="both"/>
        <w:rPr>
          <w:rFonts w:ascii="Times New Roman" w:hAnsi="Times New Roman"/>
          <w:sz w:val="28"/>
          <w:szCs w:val="24"/>
        </w:rPr>
      </w:pPr>
      <w:r w:rsidRPr="004F2223">
        <w:rPr>
          <w:rFonts w:ascii="Times New Roman" w:hAnsi="Times New Roman"/>
          <w:sz w:val="24"/>
        </w:rPr>
        <w:t>La obtención del Reconocimiento de Validez Oficial de Estudios (RVOE) exige que las instituciones particulares acrediten el cumplimiento de condiciones académicas, administrativas y de infraestructura establecidas por la autoridad educativa. Entre los principales requisitos se encuentran la presentación del plan y programa de estudios, el mapa curricular, la disponibilidad de personal académico calificado, la infraestructura física y tecnológica, los servicios bibliotecarios, los procedimientos de control escolar y los mecanismos para la expedición de certificados, diplomas, títulos y grados académicos. Asimismo, se evalúan aspectos relacionados con la organización institucional, los recursos documentales y los procesos de gestión académica, con el propósito de garantizar la calidad y viabilidad de la oferta educativa (Secretaría de Educación Pública, 2017).</w:t>
      </w:r>
    </w:p>
    <w:p w14:paraId="23B72855" w14:textId="425E6C1D"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La propia DGAIR (20</w:t>
      </w:r>
      <w:r w:rsidR="00DF7D98">
        <w:rPr>
          <w:rFonts w:ascii="Times New Roman" w:hAnsi="Times New Roman"/>
          <w:sz w:val="24"/>
          <w:szCs w:val="24"/>
        </w:rPr>
        <w:t>07</w:t>
      </w:r>
      <w:r w:rsidRPr="00F66A62">
        <w:rPr>
          <w:rFonts w:ascii="Times New Roman" w:hAnsi="Times New Roman"/>
          <w:sz w:val="24"/>
          <w:szCs w:val="24"/>
        </w:rPr>
        <w:t>, p. 4) establece que: (1) la autorización y el RVOE se otorgan a un particular por cada plan y programa de estudios; (2) ambas figuras solo se conceden a instituciones privadas, no a entes públicos; (3) con la autorización, un particular puede impartir un programa de estudios, mientras que el RVOE reconoce oficialmente un programa impartido por una institución particular; y (4) la autorización o el RVOE otorgados por entidades federativas rigen en su territorio. En consecuencia, una universidad privada puede ofrecer algunos programas con RVOE y otros sin este reconocimiento.</w:t>
      </w:r>
    </w:p>
    <w:p w14:paraId="449316DA" w14:textId="52711D58" w:rsidR="00C45F39" w:rsidRPr="00F66A62" w:rsidRDefault="00C45F39"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La documentación oficial que acredita la conclusión de estudios de nivel superior en México se integra, principalmente, por tres elementos: (1) certificado de estudios; (2) título profesional; y (3) cédula profesional. El certificado de estudios registra las calificaciones de las asignaturas cursadas, el periodo de cursado y los créditos académicos. Este documento se tramita ante autoridades educativas federales o estatales, </w:t>
      </w:r>
      <w:r w:rsidRPr="00F66A62">
        <w:rPr>
          <w:rFonts w:ascii="Times New Roman" w:hAnsi="Times New Roman"/>
          <w:sz w:val="24"/>
          <w:szCs w:val="24"/>
        </w:rPr>
        <w:lastRenderedPageBreak/>
        <w:t>que deben avalarlo y firmarlo digitalmente para que adquiera validez oficial; un procedimiento equivalente se requiere para el título profesional, una vez emitido el certificado.</w:t>
      </w:r>
    </w:p>
    <w:p w14:paraId="4CBC5C11" w14:textId="4AF5C97C" w:rsidR="00BA1B70"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Según Alto Nivel (2023), “el título profesional es un documento expedido por la universidad o institución educativa donde se cursó la carrera, el cual acredita que una persona ha concluido sus estudios en una carrera universitaria, técnica o tecnológica” (párr. 15). Asimismo, el artículo 1.º de la Ley Reglamentaria del Artículo 5.º Constitucional, relativo al Ejercicio de las Profesiones en la Ciudad de México (2018), define el título profesional como el documento expedido por instituciones educativas públicas o particulares con RVOE, otorgado a favor de quien concluye los estudios correspondientes o de quien demuestre poseer los conocimientos necesarios conforme a dicha ley.</w:t>
      </w:r>
    </w:p>
    <w:p w14:paraId="09F511A1" w14:textId="19B1FB1F" w:rsidR="004F2223" w:rsidRPr="004F2223" w:rsidRDefault="004F2223" w:rsidP="00F66A62">
      <w:pPr>
        <w:spacing w:before="120" w:after="120" w:line="360" w:lineRule="auto"/>
        <w:ind w:firstLine="708"/>
        <w:jc w:val="both"/>
        <w:rPr>
          <w:rFonts w:ascii="Times New Roman" w:hAnsi="Times New Roman"/>
          <w:sz w:val="24"/>
        </w:rPr>
      </w:pPr>
      <w:r w:rsidRPr="004F2223">
        <w:rPr>
          <w:rFonts w:ascii="Times New Roman" w:hAnsi="Times New Roman"/>
          <w:sz w:val="24"/>
        </w:rPr>
        <w:t>Cada institución de educación superior puede establecer las modalidades de titulación aplicables a sus programas académicos, siempre que estas se encuentren previstas en su normativa interna y formen parte de las condiciones académicas autorizadas por la autoridad educativa competente. En este marco, el otorgamiento y la conservación del Reconocimiento de Validez Oficial de Estudios (RVOE) implican la verificación del cumplimiento de los requisitos académicos, administrativos y normativos establecidos para cada programa educativo. En consecuencia, existen diversas modalidades de titulación según el nivel de estudios, tales como técnico superior universitario, licenciatura, especialidad, maestría y doctorado (Ley General de Educación Superior, 2021; Ley Reglamentaria del Artículo 5.º Constitucional, 2018).</w:t>
      </w:r>
    </w:p>
    <w:p w14:paraId="3467AFE8" w14:textId="6DF9245E"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La cédula profesional es el documento oficial expedido por la Dirección General de Profesiones (DGP) o por instancias estatales equivalentes, que acredita la conclusión de estudios de nivel superior y habilita legalmente el ejercicio de determinadas profesiones. Su obtención suele considerarse el paso final del proceso de certificación profesional, al consolidar la titulación completa y la posibilidad de ejercicio formal.</w:t>
      </w:r>
    </w:p>
    <w:p w14:paraId="08D4152D" w14:textId="02A9602B" w:rsidR="00C45F39" w:rsidRPr="00F66A62" w:rsidRDefault="00C45F39"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Para Alto Nivel (2023), “la principal diferencia entre el título y la cédula profesional es que el título acredita la formación académica, mientras que la cédula profesional acredita el ejercicio de la profesión” (párr. 14). En ese sentido, la cédula profesional es un requisito indispensable para ejercer ciertas profesiones —como las del área de la salud, el derecho, la contaduría pública, la ingeniería civil o la arquitectura, </w:t>
      </w:r>
      <w:r w:rsidRPr="00F66A62">
        <w:rPr>
          <w:rFonts w:ascii="Times New Roman" w:hAnsi="Times New Roman"/>
          <w:sz w:val="24"/>
          <w:szCs w:val="24"/>
        </w:rPr>
        <w:lastRenderedPageBreak/>
        <w:t>entre otras—; por tanto, no es posible ejercerlas legalmente sin contar con la cédula correspondiente.</w:t>
      </w:r>
    </w:p>
    <w:p w14:paraId="4B3D142C" w14:textId="64AE5E42" w:rsidR="00C45F39" w:rsidRPr="00F66A62" w:rsidRDefault="00C45F39" w:rsidP="00307AA5">
      <w:pPr>
        <w:tabs>
          <w:tab w:val="left" w:pos="1721"/>
        </w:tabs>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Al igual que ocurre con el RVOE, en la práctica se observan esquemas de emisión de cédulas profesionales de carácter federal y estatal. Si bien las entidades federativas poseen atribuciones para legislar en materia de ejercicio profesional en sus territorios, la Segunda Sala de la Suprema Corte de Justicia de la Nación (SCJN, 2023) ha señalado que “la regulación que rige la expedición de los títulos profesionales es inaplicable a las cédulas” (p. 15), lo que exige un análisis normativo preciso sobre competencias y alcances.</w:t>
      </w:r>
    </w:p>
    <w:p w14:paraId="013BB800" w14:textId="40A76E1C" w:rsidR="00C45F39" w:rsidRPr="00F66A62" w:rsidRDefault="00C45F39" w:rsidP="00307AA5">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Actualmente, los tres documentos oficiales que acreditan los estudios universitarios (certificado, título y cédula profesional) se gestionan mediante tramitación en línea. El certificado y el título son tramitados por las universidades o instituciones de educación superior, por lo que no pueden gestionarse de manera personal. En cambio, la</w:t>
      </w:r>
      <w:r w:rsidR="00307AA5">
        <w:rPr>
          <w:rFonts w:ascii="Times New Roman" w:hAnsi="Times New Roman"/>
          <w:sz w:val="24"/>
          <w:szCs w:val="24"/>
        </w:rPr>
        <w:t xml:space="preserve"> </w:t>
      </w:r>
      <w:r w:rsidRPr="00F66A62">
        <w:rPr>
          <w:rFonts w:ascii="Times New Roman" w:hAnsi="Times New Roman"/>
          <w:sz w:val="24"/>
          <w:szCs w:val="24"/>
        </w:rPr>
        <w:t>cédula profesional constituye un trámite personal, aplicable a mexicanos o residentes extranjeros que cuenten con Registro Federal de Contribuyentes (RFC) y con firma digital del Sistema de Administración Tributaria.</w:t>
      </w:r>
    </w:p>
    <w:p w14:paraId="7A5C1F35" w14:textId="7EFAF698" w:rsidR="00F6607B" w:rsidRPr="00F66A62" w:rsidRDefault="009A5E3D" w:rsidP="00F66A62">
      <w:pPr>
        <w:spacing w:before="120" w:after="120" w:line="360" w:lineRule="auto"/>
        <w:jc w:val="center"/>
        <w:rPr>
          <w:rFonts w:ascii="Times New Roman" w:hAnsi="Times New Roman"/>
          <w:b/>
          <w:bCs/>
          <w:sz w:val="24"/>
          <w:szCs w:val="24"/>
        </w:rPr>
      </w:pPr>
      <w:r w:rsidRPr="00F66A62">
        <w:rPr>
          <w:rFonts w:ascii="Times New Roman" w:hAnsi="Times New Roman"/>
          <w:b/>
          <w:bCs/>
          <w:sz w:val="24"/>
          <w:szCs w:val="24"/>
        </w:rPr>
        <w:t xml:space="preserve">Método </w:t>
      </w:r>
    </w:p>
    <w:p w14:paraId="14FE5968" w14:textId="7783757A" w:rsidR="00DA4BE8" w:rsidRPr="00F66A62" w:rsidRDefault="00DA4BE8"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El estudio se desarrolló bajo un enfoque cualitativo, con diseño documental y orientación analítico-interpretativa, dirigido a comprender las implicaciones jurídicas, administrativas y educativas derivadas de la coexistencia de cédulas profesionales federales y estatales en México. Este enfoque resultó pertinente, dado que el fenómeno examinado —la gestión y la validez oficial del reconocimiento de estudios superiores— se configura principalmente en el ámbito normativo y político-institucional, más que en el plano empírico o estadístico. En concordancia con Hernández-Sampieri, Fernández y Baptista (2022), la investigación cualitativa permite examinar fenómenos complejos mediante la interpretación de significados, contextos y relaciones, particularmente útil en el análisis de marcos regulatorios y estructuras de gobernanza educativa.</w:t>
      </w:r>
    </w:p>
    <w:p w14:paraId="7CB8A4D9" w14:textId="4E0899DB" w:rsidR="00DA4BE8" w:rsidRPr="00F66A62" w:rsidRDefault="00DA4BE8"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En este sentido, la investigación se clasificó como un estudio documental de carácter jurídico-educativo, sustentado en el método hermenéutico-analítico, el cual facilita la comprensión crítica de textos normativos, administrativos y doctrinarios considerando su contexto histórico, su alcance institucional y sus efectos prácticos. El alcance del estudio fue descriptivo-analítico, pues se orientó a identificar, examinar y </w:t>
      </w:r>
      <w:r w:rsidRPr="00F66A62">
        <w:rPr>
          <w:rFonts w:ascii="Times New Roman" w:hAnsi="Times New Roman"/>
          <w:sz w:val="24"/>
          <w:szCs w:val="24"/>
        </w:rPr>
        <w:lastRenderedPageBreak/>
        <w:t>sistematizar atribuciones, competencias y posibles tensiones intergubernamentales vinculadas con el reconocimiento oficial de estudios, la titulación universitaria y la expedición de cédulas profesionales.</w:t>
      </w:r>
    </w:p>
    <w:p w14:paraId="5511EF39" w14:textId="5AAE414F" w:rsidR="00DA4BE8" w:rsidRPr="00F66A62" w:rsidRDefault="00DA4BE8" w:rsidP="00307AA5">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El corpus estuvo conformado por 42 documentos oficiales y académicos publicados entre 2015 y 2024, seleccionados por su relevancia normativa y pertinencia</w:t>
      </w:r>
      <w:r w:rsidR="00307AA5">
        <w:rPr>
          <w:rFonts w:ascii="Times New Roman" w:hAnsi="Times New Roman"/>
          <w:sz w:val="24"/>
          <w:szCs w:val="24"/>
        </w:rPr>
        <w:t xml:space="preserve"> </w:t>
      </w:r>
      <w:r w:rsidRPr="00F66A62">
        <w:rPr>
          <w:rFonts w:ascii="Times New Roman" w:hAnsi="Times New Roman"/>
          <w:sz w:val="24"/>
          <w:szCs w:val="24"/>
        </w:rPr>
        <w:t>temática. Se incluyeron documentos del periodo 2015</w:t>
      </w:r>
      <w:r w:rsidR="00ED1DD4" w:rsidRPr="00F66A62">
        <w:rPr>
          <w:rFonts w:ascii="Times New Roman" w:hAnsi="Times New Roman"/>
          <w:sz w:val="24"/>
          <w:szCs w:val="24"/>
        </w:rPr>
        <w:t>-</w:t>
      </w:r>
      <w:r w:rsidRPr="00F66A62">
        <w:rPr>
          <w:rFonts w:ascii="Times New Roman" w:hAnsi="Times New Roman"/>
          <w:sz w:val="24"/>
          <w:szCs w:val="24"/>
        </w:rPr>
        <w:t>2017 como antecedentes regulatorios y de reorganización institucional, y se priorizó el periodo 2018</w:t>
      </w:r>
      <w:r w:rsidR="00ED1DD4" w:rsidRPr="00F66A62">
        <w:rPr>
          <w:rFonts w:ascii="Times New Roman" w:hAnsi="Times New Roman"/>
          <w:sz w:val="24"/>
          <w:szCs w:val="24"/>
        </w:rPr>
        <w:t>-</w:t>
      </w:r>
      <w:r w:rsidRPr="00F66A62">
        <w:rPr>
          <w:rFonts w:ascii="Times New Roman" w:hAnsi="Times New Roman"/>
          <w:sz w:val="24"/>
          <w:szCs w:val="24"/>
        </w:rPr>
        <w:t>2024 por corresponder a los cambios administrativos asociados a la coexistencia de esquemas federales y estatales de certificación profesional.</w:t>
      </w:r>
    </w:p>
    <w:p w14:paraId="2C13347A" w14:textId="19CC9CFC" w:rsidR="00DA4BE8" w:rsidRPr="00F66A62" w:rsidRDefault="00DA4BE8"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Las fuentes se agruparon en tres bloques principales:</w:t>
      </w:r>
    </w:p>
    <w:p w14:paraId="7E247698" w14:textId="0AAA2BDA" w:rsidR="0012291C" w:rsidRPr="00F66A62" w:rsidRDefault="00DA4BE8" w:rsidP="00F66A62">
      <w:pPr>
        <w:pStyle w:val="Prrafodelista"/>
        <w:numPr>
          <w:ilvl w:val="0"/>
          <w:numId w:val="33"/>
        </w:numPr>
        <w:spacing w:before="120" w:after="120" w:line="360" w:lineRule="auto"/>
        <w:jc w:val="both"/>
        <w:rPr>
          <w:rFonts w:ascii="Times New Roman" w:hAnsi="Times New Roman"/>
          <w:sz w:val="24"/>
          <w:szCs w:val="24"/>
        </w:rPr>
      </w:pPr>
      <w:r w:rsidRPr="00F66A62">
        <w:rPr>
          <w:rFonts w:ascii="Times New Roman" w:hAnsi="Times New Roman"/>
          <w:sz w:val="24"/>
          <w:szCs w:val="24"/>
        </w:rPr>
        <w:t>Fuentes normativas federales: Constitución Política de los Estados Unidos Mexicanos, Ley General de Educación (2024), Ley General de Educación Superior (2021), Ley Reglamentaria del Artículo 5.º Constitucional y su Reglamento (2018), así como decretos, oficios y lineamientos emitidos por la Secretaría de Educación Pública (SEP) y dependencias vinculadas al reconocimiento oficial.</w:t>
      </w:r>
    </w:p>
    <w:p w14:paraId="5C01630C" w14:textId="77777777" w:rsidR="0012291C" w:rsidRPr="00F66A62" w:rsidRDefault="00DA4BE8" w:rsidP="00F66A62">
      <w:pPr>
        <w:pStyle w:val="Prrafodelista"/>
        <w:numPr>
          <w:ilvl w:val="0"/>
          <w:numId w:val="33"/>
        </w:numPr>
        <w:spacing w:before="120" w:after="120" w:line="360" w:lineRule="auto"/>
        <w:jc w:val="both"/>
        <w:rPr>
          <w:rFonts w:ascii="Times New Roman" w:hAnsi="Times New Roman"/>
          <w:sz w:val="24"/>
          <w:szCs w:val="24"/>
        </w:rPr>
      </w:pPr>
      <w:r w:rsidRPr="00F66A62">
        <w:rPr>
          <w:rFonts w:ascii="Times New Roman" w:hAnsi="Times New Roman"/>
          <w:sz w:val="24"/>
          <w:szCs w:val="24"/>
        </w:rPr>
        <w:t>Fuentes estatales: normativas, reglamentos institucionales y portales oficiales de Secretarías de Educación y Direcciones Estatales de Profesiones de entidades federativas que registran o gestionan esquemas estatales de expedición de cédulas profesionales (entre ellas: Baja California, Coahuila, Guanajuato, Jalisco, Michoacán, Nayarit, Querétaro y Sonora).</w:t>
      </w:r>
    </w:p>
    <w:p w14:paraId="071DD906" w14:textId="77876B20" w:rsidR="00DA4BE8" w:rsidRPr="00F66A62" w:rsidRDefault="00DA4BE8" w:rsidP="00F66A62">
      <w:pPr>
        <w:pStyle w:val="Prrafodelista"/>
        <w:numPr>
          <w:ilvl w:val="0"/>
          <w:numId w:val="33"/>
        </w:numPr>
        <w:spacing w:before="120" w:after="120" w:line="360" w:lineRule="auto"/>
        <w:jc w:val="both"/>
        <w:rPr>
          <w:rFonts w:ascii="Times New Roman" w:hAnsi="Times New Roman"/>
          <w:sz w:val="24"/>
          <w:szCs w:val="24"/>
        </w:rPr>
      </w:pPr>
      <w:r w:rsidRPr="00F66A62">
        <w:rPr>
          <w:rFonts w:ascii="Times New Roman" w:hAnsi="Times New Roman"/>
          <w:sz w:val="24"/>
          <w:szCs w:val="24"/>
        </w:rPr>
        <w:t xml:space="preserve">Fuentes académicas y doctrinarias: artículos científicos, tesis de posgrado y documentos técnicos de organismos como la Asociación Nacional de Universidades e Instituciones de Educación Superior </w:t>
      </w:r>
      <w:r w:rsidR="00956A62" w:rsidRPr="0048164D">
        <w:rPr>
          <w:rFonts w:ascii="Times New Roman" w:hAnsi="Times New Roman"/>
          <w:sz w:val="24"/>
        </w:rPr>
        <w:t>(ANUIES, 2023)</w:t>
      </w:r>
      <w:r w:rsidR="00956A62" w:rsidRPr="00956A62">
        <w:rPr>
          <w:sz w:val="24"/>
        </w:rPr>
        <w:t xml:space="preserve"> </w:t>
      </w:r>
      <w:r w:rsidRPr="00F66A62">
        <w:rPr>
          <w:rFonts w:ascii="Times New Roman" w:hAnsi="Times New Roman"/>
          <w:sz w:val="24"/>
          <w:szCs w:val="24"/>
        </w:rPr>
        <w:t>y la Dirección General de Acreditación, Incorporación y Revalidación (DGAIR</w:t>
      </w:r>
      <w:r w:rsidR="0048164D">
        <w:rPr>
          <w:rFonts w:ascii="Times New Roman" w:hAnsi="Times New Roman"/>
          <w:sz w:val="24"/>
          <w:szCs w:val="24"/>
        </w:rPr>
        <w:t>, 2007</w:t>
      </w:r>
      <w:r w:rsidRPr="00F66A62">
        <w:rPr>
          <w:rFonts w:ascii="Times New Roman" w:hAnsi="Times New Roman"/>
          <w:sz w:val="24"/>
          <w:szCs w:val="24"/>
        </w:rPr>
        <w:t>).</w:t>
      </w:r>
    </w:p>
    <w:p w14:paraId="1F1B7DDE" w14:textId="3C41AD15" w:rsidR="00DA4BE8" w:rsidRPr="00F66A62" w:rsidRDefault="00DA4BE8"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Los documentos fueron localizados en repositorios y portales oficiales (Diario Oficial de la Federación, Gobierno de México, ANUIES, Redalyc y SciELO México), lo que fortaleció su verificabilidad y procedencia institucional.</w:t>
      </w:r>
    </w:p>
    <w:p w14:paraId="7CB87A72" w14:textId="72489705" w:rsidR="00DA4BE8" w:rsidRPr="00F66A62" w:rsidRDefault="00DA4BE8" w:rsidP="00F66A62">
      <w:pPr>
        <w:spacing w:before="120" w:after="120" w:line="360" w:lineRule="auto"/>
        <w:jc w:val="both"/>
        <w:rPr>
          <w:rFonts w:ascii="Times New Roman" w:hAnsi="Times New Roman"/>
          <w:b/>
          <w:bCs/>
          <w:sz w:val="24"/>
          <w:szCs w:val="24"/>
        </w:rPr>
      </w:pPr>
      <w:r w:rsidRPr="00F66A62">
        <w:rPr>
          <w:rFonts w:ascii="Times New Roman" w:hAnsi="Times New Roman"/>
          <w:b/>
          <w:bCs/>
          <w:sz w:val="24"/>
          <w:szCs w:val="24"/>
        </w:rPr>
        <w:t>Criterios de inclusión y exclusión</w:t>
      </w:r>
    </w:p>
    <w:p w14:paraId="47A7733F" w14:textId="77777777" w:rsidR="004A48CD" w:rsidRDefault="00DA4BE8" w:rsidP="004A48CD">
      <w:pPr>
        <w:pStyle w:val="Prrafodelista"/>
        <w:numPr>
          <w:ilvl w:val="0"/>
          <w:numId w:val="34"/>
        </w:numPr>
        <w:spacing w:before="120" w:after="120" w:line="360" w:lineRule="auto"/>
        <w:jc w:val="both"/>
        <w:rPr>
          <w:rFonts w:ascii="Times New Roman" w:hAnsi="Times New Roman"/>
          <w:sz w:val="24"/>
          <w:szCs w:val="24"/>
        </w:rPr>
      </w:pPr>
      <w:r w:rsidRPr="00F66A62">
        <w:rPr>
          <w:rFonts w:ascii="Times New Roman" w:hAnsi="Times New Roman"/>
          <w:sz w:val="24"/>
          <w:szCs w:val="24"/>
        </w:rPr>
        <w:t>Se aplicaron los siguientes criterios de inclusión:</w:t>
      </w:r>
    </w:p>
    <w:p w14:paraId="0933CCEC" w14:textId="4C1B2000" w:rsidR="0012291C" w:rsidRDefault="00DA4BE8" w:rsidP="004A48CD">
      <w:pPr>
        <w:pStyle w:val="Prrafodelista"/>
        <w:numPr>
          <w:ilvl w:val="0"/>
          <w:numId w:val="34"/>
        </w:numPr>
        <w:spacing w:before="120" w:after="120" w:line="360" w:lineRule="auto"/>
        <w:jc w:val="both"/>
        <w:rPr>
          <w:rFonts w:ascii="Times New Roman" w:hAnsi="Times New Roman"/>
          <w:sz w:val="24"/>
          <w:szCs w:val="24"/>
        </w:rPr>
      </w:pPr>
      <w:r w:rsidRPr="00F66A62">
        <w:rPr>
          <w:rFonts w:ascii="Times New Roman" w:hAnsi="Times New Roman"/>
          <w:sz w:val="24"/>
          <w:szCs w:val="24"/>
        </w:rPr>
        <w:lastRenderedPageBreak/>
        <w:t>documentos vigentes o reformados en el periodo 2018</w:t>
      </w:r>
      <w:r w:rsidR="00ED1DD4" w:rsidRPr="00F66A62">
        <w:rPr>
          <w:rFonts w:ascii="Times New Roman" w:hAnsi="Times New Roman"/>
          <w:sz w:val="24"/>
          <w:szCs w:val="24"/>
        </w:rPr>
        <w:t>-</w:t>
      </w:r>
      <w:r w:rsidRPr="00F66A62">
        <w:rPr>
          <w:rFonts w:ascii="Times New Roman" w:hAnsi="Times New Roman"/>
          <w:sz w:val="24"/>
          <w:szCs w:val="24"/>
        </w:rPr>
        <w:t>2024, así como antecedentes normativos relevantes desde 2015;</w:t>
      </w:r>
    </w:p>
    <w:p w14:paraId="018D8E58" w14:textId="4360DE51" w:rsidR="00C21E61" w:rsidRPr="00F66A62" w:rsidRDefault="00DA4BE8" w:rsidP="004A48CD">
      <w:pPr>
        <w:pStyle w:val="Prrafodelista"/>
        <w:numPr>
          <w:ilvl w:val="0"/>
          <w:numId w:val="34"/>
        </w:numPr>
        <w:spacing w:before="120" w:after="120" w:line="360" w:lineRule="auto"/>
        <w:jc w:val="both"/>
        <w:rPr>
          <w:rFonts w:ascii="Times New Roman" w:hAnsi="Times New Roman"/>
          <w:sz w:val="24"/>
          <w:szCs w:val="24"/>
        </w:rPr>
      </w:pPr>
      <w:r w:rsidRPr="00F66A62">
        <w:rPr>
          <w:rFonts w:ascii="Times New Roman" w:hAnsi="Times New Roman"/>
          <w:sz w:val="24"/>
          <w:szCs w:val="24"/>
        </w:rPr>
        <w:t>textos con alcance federal o estatal vinculados con reconocimiento oficial de estudios, procesos de titulación o ejercicio profesional;</w:t>
      </w:r>
    </w:p>
    <w:p w14:paraId="37EE5D6E" w14:textId="3C2F0466" w:rsidR="0012291C" w:rsidRDefault="00DA4BE8" w:rsidP="004A48CD">
      <w:pPr>
        <w:pStyle w:val="Prrafodelista"/>
        <w:numPr>
          <w:ilvl w:val="0"/>
          <w:numId w:val="34"/>
        </w:numPr>
        <w:spacing w:before="120" w:after="120" w:line="360" w:lineRule="auto"/>
        <w:jc w:val="both"/>
        <w:rPr>
          <w:rFonts w:ascii="Times New Roman" w:hAnsi="Times New Roman"/>
          <w:sz w:val="24"/>
          <w:szCs w:val="24"/>
        </w:rPr>
      </w:pPr>
      <w:r w:rsidRPr="00F66A62">
        <w:rPr>
          <w:rFonts w:ascii="Times New Roman" w:hAnsi="Times New Roman"/>
          <w:sz w:val="24"/>
          <w:szCs w:val="24"/>
        </w:rPr>
        <w:t>publicaciones académicas que abordaran regulación, gobernanza o administración educativa en educación superior;</w:t>
      </w:r>
    </w:p>
    <w:p w14:paraId="4C3E6E96" w14:textId="731CEE49" w:rsidR="00DA4BE8" w:rsidRPr="00F66A62" w:rsidRDefault="00DA4BE8" w:rsidP="004A48CD">
      <w:pPr>
        <w:pStyle w:val="Prrafodelista"/>
        <w:numPr>
          <w:ilvl w:val="0"/>
          <w:numId w:val="34"/>
        </w:numPr>
        <w:spacing w:before="120" w:after="120" w:line="360" w:lineRule="auto"/>
        <w:jc w:val="both"/>
        <w:rPr>
          <w:rFonts w:ascii="Times New Roman" w:hAnsi="Times New Roman"/>
          <w:sz w:val="24"/>
          <w:szCs w:val="24"/>
        </w:rPr>
      </w:pPr>
      <w:r w:rsidRPr="00F66A62">
        <w:rPr>
          <w:rFonts w:ascii="Times New Roman" w:hAnsi="Times New Roman"/>
          <w:sz w:val="24"/>
          <w:szCs w:val="24"/>
        </w:rPr>
        <w:t>documentos emitidos por autoridades, organismos oficiales o instituciones académicas con trazabilidad verificable.</w:t>
      </w:r>
    </w:p>
    <w:p w14:paraId="12253E0C" w14:textId="45E2DBFB" w:rsidR="00DA4BE8" w:rsidRPr="00F66A62" w:rsidRDefault="00DA4BE8" w:rsidP="00F66A62">
      <w:pPr>
        <w:tabs>
          <w:tab w:val="left" w:pos="2076"/>
        </w:tabs>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Se excluyeron materiales periodísticos no verificables, textos de opinión sin respaldo normativo, duplicados sin modificaciones sustantivas y documentos sin procedencia institucional </w:t>
      </w:r>
      <w:proofErr w:type="spellStart"/>
      <w:r w:rsidRPr="00F66A62">
        <w:rPr>
          <w:rFonts w:ascii="Times New Roman" w:hAnsi="Times New Roman"/>
          <w:sz w:val="24"/>
          <w:szCs w:val="24"/>
        </w:rPr>
        <w:t>confirmable</w:t>
      </w:r>
      <w:proofErr w:type="spellEnd"/>
      <w:r w:rsidRPr="00F66A62">
        <w:rPr>
          <w:rFonts w:ascii="Times New Roman" w:hAnsi="Times New Roman"/>
          <w:sz w:val="24"/>
          <w:szCs w:val="24"/>
        </w:rPr>
        <w:t>.</w:t>
      </w:r>
    </w:p>
    <w:p w14:paraId="164BD48C" w14:textId="1AF41D88" w:rsidR="00DA4BE8" w:rsidRPr="00F66A62" w:rsidRDefault="00DA4BE8" w:rsidP="00F66A62">
      <w:pPr>
        <w:tabs>
          <w:tab w:val="left" w:pos="2076"/>
        </w:tabs>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El análisis documental se desarrolló en cuatro fases:</w:t>
      </w:r>
    </w:p>
    <w:p w14:paraId="7625B601" w14:textId="77777777" w:rsidR="00DA4BE8" w:rsidRPr="00F66A62" w:rsidRDefault="00DA4BE8" w:rsidP="00F66A62">
      <w:pPr>
        <w:spacing w:before="120" w:after="120" w:line="360" w:lineRule="auto"/>
        <w:jc w:val="both"/>
        <w:rPr>
          <w:rFonts w:ascii="Times New Roman" w:hAnsi="Times New Roman"/>
          <w:sz w:val="24"/>
          <w:szCs w:val="24"/>
        </w:rPr>
      </w:pPr>
      <w:r w:rsidRPr="00F66A62">
        <w:rPr>
          <w:rFonts w:ascii="Times New Roman" w:hAnsi="Times New Roman"/>
          <w:b/>
          <w:bCs/>
          <w:sz w:val="24"/>
          <w:szCs w:val="24"/>
        </w:rPr>
        <w:t>Búsqueda y recopilación</w:t>
      </w:r>
      <w:r w:rsidRPr="00F66A62">
        <w:rPr>
          <w:rFonts w:ascii="Times New Roman" w:hAnsi="Times New Roman"/>
          <w:sz w:val="24"/>
          <w:szCs w:val="24"/>
        </w:rPr>
        <w:t>: identificación y descarga de documentos normativos, institucionales y académicos relevantes en repositorios oficiales y bases documentales seleccionadas.</w:t>
      </w:r>
    </w:p>
    <w:p w14:paraId="1FC43894" w14:textId="77777777" w:rsidR="00DA4BE8" w:rsidRPr="00F66A62" w:rsidRDefault="00DA4BE8" w:rsidP="00F66A62">
      <w:pPr>
        <w:spacing w:before="120" w:after="120" w:line="360" w:lineRule="auto"/>
        <w:jc w:val="both"/>
        <w:rPr>
          <w:rFonts w:ascii="Times New Roman" w:hAnsi="Times New Roman"/>
          <w:sz w:val="24"/>
          <w:szCs w:val="24"/>
        </w:rPr>
      </w:pPr>
      <w:r w:rsidRPr="00F66A62">
        <w:rPr>
          <w:rFonts w:ascii="Times New Roman" w:hAnsi="Times New Roman"/>
          <w:b/>
          <w:bCs/>
          <w:sz w:val="24"/>
          <w:szCs w:val="24"/>
        </w:rPr>
        <w:t>Clasificación temática:</w:t>
      </w:r>
      <w:r w:rsidRPr="00F66A62">
        <w:rPr>
          <w:rFonts w:ascii="Times New Roman" w:hAnsi="Times New Roman"/>
          <w:sz w:val="24"/>
          <w:szCs w:val="24"/>
        </w:rPr>
        <w:t xml:space="preserve"> organización del corpus en tres ejes analíticos: (i) reconocimiento de estudios (RVOE), (</w:t>
      </w:r>
      <w:proofErr w:type="spellStart"/>
      <w:r w:rsidRPr="00F66A62">
        <w:rPr>
          <w:rFonts w:ascii="Times New Roman" w:hAnsi="Times New Roman"/>
          <w:sz w:val="24"/>
          <w:szCs w:val="24"/>
        </w:rPr>
        <w:t>ii</w:t>
      </w:r>
      <w:proofErr w:type="spellEnd"/>
      <w:r w:rsidRPr="00F66A62">
        <w:rPr>
          <w:rFonts w:ascii="Times New Roman" w:hAnsi="Times New Roman"/>
          <w:sz w:val="24"/>
          <w:szCs w:val="24"/>
        </w:rPr>
        <w:t>) procesos de titulación y (</w:t>
      </w:r>
      <w:proofErr w:type="spellStart"/>
      <w:r w:rsidRPr="00F66A62">
        <w:rPr>
          <w:rFonts w:ascii="Times New Roman" w:hAnsi="Times New Roman"/>
          <w:sz w:val="24"/>
          <w:szCs w:val="24"/>
        </w:rPr>
        <w:t>iii</w:t>
      </w:r>
      <w:proofErr w:type="spellEnd"/>
      <w:r w:rsidRPr="00F66A62">
        <w:rPr>
          <w:rFonts w:ascii="Times New Roman" w:hAnsi="Times New Roman"/>
          <w:sz w:val="24"/>
          <w:szCs w:val="24"/>
        </w:rPr>
        <w:t>) expedición de cédulas profesionales.</w:t>
      </w:r>
    </w:p>
    <w:p w14:paraId="45BB551D" w14:textId="77777777" w:rsidR="00DA4BE8" w:rsidRPr="00F66A62" w:rsidRDefault="00DA4BE8" w:rsidP="00F66A62">
      <w:pPr>
        <w:spacing w:before="120" w:after="120" w:line="360" w:lineRule="auto"/>
        <w:jc w:val="both"/>
        <w:rPr>
          <w:rFonts w:ascii="Times New Roman" w:hAnsi="Times New Roman"/>
          <w:sz w:val="24"/>
          <w:szCs w:val="24"/>
        </w:rPr>
      </w:pPr>
      <w:r w:rsidRPr="00F66A62">
        <w:rPr>
          <w:rFonts w:ascii="Times New Roman" w:hAnsi="Times New Roman"/>
          <w:b/>
          <w:bCs/>
          <w:sz w:val="24"/>
          <w:szCs w:val="24"/>
        </w:rPr>
        <w:t>Análisis comparativo normativo</w:t>
      </w:r>
      <w:r w:rsidRPr="00F66A62">
        <w:rPr>
          <w:rFonts w:ascii="Times New Roman" w:hAnsi="Times New Roman"/>
          <w:sz w:val="24"/>
          <w:szCs w:val="24"/>
        </w:rPr>
        <w:t>: lectura interpretativa y contraste sistemático entre disposiciones federales y estatales, identificando convergencias, vacíos, ambigüedades y posibles contradicciones de competencia.</w:t>
      </w:r>
    </w:p>
    <w:p w14:paraId="3EBD2116" w14:textId="77777777" w:rsidR="00DA4BE8" w:rsidRPr="00F66A62" w:rsidRDefault="00DA4BE8" w:rsidP="00F66A62">
      <w:pPr>
        <w:spacing w:before="120" w:after="120" w:line="360" w:lineRule="auto"/>
        <w:jc w:val="both"/>
        <w:rPr>
          <w:rFonts w:ascii="Times New Roman" w:hAnsi="Times New Roman"/>
          <w:sz w:val="24"/>
          <w:szCs w:val="24"/>
        </w:rPr>
      </w:pPr>
      <w:r w:rsidRPr="00F66A62">
        <w:rPr>
          <w:rFonts w:ascii="Times New Roman" w:hAnsi="Times New Roman"/>
          <w:b/>
          <w:bCs/>
          <w:sz w:val="24"/>
          <w:szCs w:val="24"/>
        </w:rPr>
        <w:t>Síntesis e integración:</w:t>
      </w:r>
      <w:r w:rsidRPr="00F66A62">
        <w:rPr>
          <w:rFonts w:ascii="Times New Roman" w:hAnsi="Times New Roman"/>
          <w:sz w:val="24"/>
          <w:szCs w:val="24"/>
        </w:rPr>
        <w:t xml:space="preserve"> consolidación de hallazgos mediante una matriz analítica comparativa, incorporando categorías como autoridad emisora, fundamento legal, alcance territorial, procedimiento administrativo y efectos para el egresado.</w:t>
      </w:r>
    </w:p>
    <w:p w14:paraId="1F5852F5" w14:textId="092D1FB4" w:rsidR="00BA1B70" w:rsidRPr="00F66A62" w:rsidRDefault="00DA4BE8"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Para fortalecer la consistencia interpretativa, se aplicó triangulación por tipo de fuente, contrastando legislación vigente, documentos administrativos, pronunciamientos judiciales y literatura académica especializada. Asimismo, se preservó la trazabilidad de cada documento mediante el registro de su procedencia institucional y fecha de</w:t>
      </w:r>
      <w:r w:rsidR="004A48CD">
        <w:rPr>
          <w:rFonts w:ascii="Times New Roman" w:hAnsi="Times New Roman"/>
          <w:sz w:val="24"/>
          <w:szCs w:val="24"/>
        </w:rPr>
        <w:t xml:space="preserve"> </w:t>
      </w:r>
      <w:r w:rsidRPr="00F66A62">
        <w:rPr>
          <w:rFonts w:ascii="Times New Roman" w:hAnsi="Times New Roman"/>
          <w:sz w:val="24"/>
          <w:szCs w:val="24"/>
        </w:rPr>
        <w:t>publicación, lo que permitió sustentar las interpretaciones en evidencia documental verificable.</w:t>
      </w:r>
    </w:p>
    <w:p w14:paraId="4476B499" w14:textId="3FD00AED" w:rsidR="00DA4BE8" w:rsidRPr="00F66A62" w:rsidRDefault="00DA4BE8"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lastRenderedPageBreak/>
        <w:t>El estudio se ajustó a principios de integridad académica y transparencia en el uso de fuentes públicas. Dado su carácter documental, no implicó intervención en población, manipulación de datos ni procedimientos de riesgo. Además, se respetaron los derechos de autor y las condiciones de uso de los documentos consultados, conforme a la normativa aplicable y a los términos de licenciamiento correspondientes.</w:t>
      </w:r>
    </w:p>
    <w:p w14:paraId="539CD371" w14:textId="275E02F3" w:rsidR="00E762E1" w:rsidRPr="00F66A62" w:rsidRDefault="0062527D" w:rsidP="004A48CD">
      <w:pPr>
        <w:spacing w:before="120" w:after="120" w:line="360" w:lineRule="auto"/>
        <w:jc w:val="center"/>
        <w:rPr>
          <w:rFonts w:ascii="Times New Roman" w:hAnsi="Times New Roman"/>
          <w:b/>
          <w:bCs/>
          <w:sz w:val="24"/>
          <w:szCs w:val="24"/>
        </w:rPr>
      </w:pPr>
      <w:r w:rsidRPr="00F66A62">
        <w:rPr>
          <w:rFonts w:ascii="Times New Roman" w:hAnsi="Times New Roman"/>
          <w:b/>
          <w:bCs/>
          <w:sz w:val="24"/>
          <w:szCs w:val="24"/>
        </w:rPr>
        <w:t>Resultados</w:t>
      </w:r>
    </w:p>
    <w:p w14:paraId="1007DAAD" w14:textId="12DBC83C" w:rsidR="00BF235E" w:rsidRPr="00F66A62" w:rsidRDefault="00BF235E"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La Dirección General de Acreditación, Incorporación y Revalidación (DGAIR</w:t>
      </w:r>
      <w:r w:rsidR="0048164D">
        <w:rPr>
          <w:rFonts w:ascii="Times New Roman" w:hAnsi="Times New Roman"/>
          <w:sz w:val="24"/>
          <w:szCs w:val="24"/>
        </w:rPr>
        <w:t>, 2007</w:t>
      </w:r>
      <w:r w:rsidRPr="00F66A62">
        <w:rPr>
          <w:rFonts w:ascii="Times New Roman" w:hAnsi="Times New Roman"/>
          <w:sz w:val="24"/>
          <w:szCs w:val="24"/>
        </w:rPr>
        <w:t>), adscrita a la Secretaría de Educación Pública (SEP), constituye el órgano responsable de otorgar, modificar o retirar el Reconocimiento de Validez Oficial de Estudios (RVOE) en el ámbito federal. Su competencia abarca todos los niveles de educación superior: técnico superior universitario, profesional asociado, licenciatura, especialidad, maestría y doctorado, en las modalidades escolarizada, no escolarizada y mixta.</w:t>
      </w:r>
    </w:p>
    <w:p w14:paraId="185CD6AC" w14:textId="0BED460E"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De acuerdo con registros históricos de la DGAIR (2024), los primeros RVOE se emitieron en 1930 mediante acuerdo presidencial, otorgándose a instituciones que aún permanecen activas, entre ellas la Escuela Libre de Homeopatía de México I.A.P. y la Escuela Libre de Derecho. Posteriormente, en 1937 se incorporó el Instituto de Ciencias Sociales, Económicas y Administrativas (actual CESCIJUC), y en décadas siguientes se sumaron instituciones como la Escuela Bancaria y Comercial (1939), el Instituto Tecnológico y de Estudios Superiores de Monterrey (1952), el Instituto Tecnológico Autónomo de México (1963) y la Universidad Iberoamericana (1981) (Limón, 2022). Estos antecedentes evidencian un proceso histórico de expansión gradual del reconocimiento oficial, asociado al fortalecimiento del sistema privado de educación superior en México.</w:t>
      </w:r>
    </w:p>
    <w:p w14:paraId="3CA44453" w14:textId="6537F128"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En términos cuantitativos, hasta marzo de 2024 el sistema federal registra 33,871 programas académicos con RVOE, distribuidos en 2,691 instituciones particulares, lo que representa un incremento del 47.3% respecto a los 22,994 programas contabilizados en 2019 (Villalobos, 2020). Por nivel educativo, la mayor proporción corresponde a licenciatura (62%), seguida por maestría (26.3%), especialidad (7.9%), doctorado (2.7%) y técnico superior universitario (1%). En cuanto a la distribución por áreas del conocimiento, destacan Administración y Negocios (37%), Ciencias Sociales y Derecho (19.4%) y Educación (11.4%), seguidas de Ingeniería Civil y Manufactura (9.6%), Ciencias de la Salud (6.9%), Tecnologías de la Información y la Comunicación (6.1%) y Artes y Humanidades (5.6%) (DGAIR, 2024).</w:t>
      </w:r>
    </w:p>
    <w:p w14:paraId="04DDF4B4" w14:textId="74EABA18" w:rsidR="00BF235E" w:rsidRPr="00F66A62" w:rsidRDefault="00BF235E" w:rsidP="00307AA5">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lastRenderedPageBreak/>
        <w:t>Respecto a la distribución territorial, la Ciudad de México y el Estado de México concentran la mayor oferta educativa privada con RVOE federal. En particular, registran 6,831 y 6,056 programas, respectivamente, lo que equivale al 38% del total nacional. Esta proporción se ha mantenido constante desde 2019, lo cual evidencia la centralización geográfica de la educación superior privada en la zona metropolitana (Villalobos, 2020). En consecuencia, uno de cada tres programas con validez oficial se imparte en estas dos entidades federativas, consolidando su papel como ejes estructurales del sistema educativo particular.</w:t>
      </w:r>
    </w:p>
    <w:p w14:paraId="52015AFB" w14:textId="6DF16EFF"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Asimismo, el análisis de los registros federales evidencia que un reducido número de corporativos universitarios concentra una proporción significativa de los RVOE vigentes y de la matrícula nacional. La Universidad del Valle de México (UVM) ocupa el primer lugar con 3,902 RVOE, seguida por el Instituto Tecnológico y de Estudios Superiores de Monterrey (ITESM) con 2,068, la Universidad del Desarrollo Profesional (UNIDEP) con 1,501, la Universidad Tecnológica de México (UNITEC) con 1,142 y la Universidad Anáhuac con 1,057 (DGAIR, 2024). En conjunto, las diez instituciones particulares con mayor número de RVOE concentran el 38.5% del total nacional, lo que equivale a más de una tercera parte de los programas reconocidos por la autoridad federal.</w:t>
      </w:r>
    </w:p>
    <w:p w14:paraId="190C34DD" w14:textId="429A4B54" w:rsidR="00BF235E" w:rsidRPr="00557563" w:rsidRDefault="00BF235E" w:rsidP="00BA1B70">
      <w:pPr>
        <w:spacing w:line="360" w:lineRule="auto"/>
        <w:outlineLvl w:val="2"/>
        <w:rPr>
          <w:rFonts w:ascii="Times New Roman" w:eastAsia="Times New Roman" w:hAnsi="Times New Roman"/>
          <w:b/>
          <w:bCs/>
          <w:sz w:val="24"/>
          <w:szCs w:val="24"/>
          <w:lang w:val="es-PE" w:eastAsia="es-PE"/>
        </w:rPr>
      </w:pPr>
      <w:r w:rsidRPr="00557563">
        <w:rPr>
          <w:rFonts w:ascii="Times New Roman" w:eastAsia="Times New Roman" w:hAnsi="Times New Roman"/>
          <w:b/>
          <w:bCs/>
          <w:sz w:val="24"/>
          <w:szCs w:val="24"/>
          <w:lang w:val="es-PE" w:eastAsia="es-PE"/>
        </w:rPr>
        <w:t>Tabla 1</w:t>
      </w:r>
    </w:p>
    <w:p w14:paraId="0454C86C" w14:textId="77777777" w:rsidR="00BF235E" w:rsidRPr="00BF235E" w:rsidRDefault="00BF235E" w:rsidP="00BA1B70">
      <w:pPr>
        <w:spacing w:line="360" w:lineRule="auto"/>
        <w:rPr>
          <w:rFonts w:ascii="Times New Roman" w:eastAsia="Times New Roman" w:hAnsi="Times New Roman"/>
          <w:i/>
          <w:iCs/>
          <w:sz w:val="24"/>
          <w:szCs w:val="24"/>
          <w:lang w:val="es-PE" w:eastAsia="es-PE"/>
        </w:rPr>
      </w:pPr>
      <w:r w:rsidRPr="00BF235E">
        <w:rPr>
          <w:rFonts w:ascii="Times New Roman" w:eastAsia="Times New Roman" w:hAnsi="Times New Roman"/>
          <w:i/>
          <w:iCs/>
          <w:sz w:val="24"/>
          <w:szCs w:val="24"/>
          <w:lang w:val="es-PE" w:eastAsia="es-PE"/>
        </w:rPr>
        <w:t>Universidades particulares con mayor número de RVOE, planteles y matrícula en México (2024)</w:t>
      </w:r>
    </w:p>
    <w:tbl>
      <w:tblPr>
        <w:tblStyle w:val="Tablaconcuadrcula"/>
        <w:tblW w:w="844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891"/>
        <w:gridCol w:w="1133"/>
        <w:gridCol w:w="1317"/>
      </w:tblGrid>
      <w:tr w:rsidR="00557563" w:rsidRPr="00307AA5" w14:paraId="75C7CC92" w14:textId="77777777" w:rsidTr="00761A00">
        <w:tc>
          <w:tcPr>
            <w:tcW w:w="5103" w:type="dxa"/>
            <w:tcBorders>
              <w:top w:val="single" w:sz="4" w:space="0" w:color="auto"/>
              <w:bottom w:val="single" w:sz="4" w:space="0" w:color="auto"/>
            </w:tcBorders>
            <w:vAlign w:val="center"/>
          </w:tcPr>
          <w:p w14:paraId="23930525" w14:textId="557476DA" w:rsidR="00557563" w:rsidRPr="00307AA5" w:rsidRDefault="00F66A62" w:rsidP="00307AA5">
            <w:pPr>
              <w:spacing w:line="360" w:lineRule="auto"/>
              <w:jc w:val="both"/>
              <w:rPr>
                <w:rFonts w:ascii="Times New Roman" w:eastAsia="Times New Roman" w:hAnsi="Times New Roman"/>
                <w:b/>
                <w:bCs/>
                <w:i/>
                <w:iCs/>
                <w:lang w:val="es-PE" w:eastAsia="es-PE"/>
              </w:rPr>
            </w:pPr>
            <w:r w:rsidRPr="00307AA5">
              <w:rPr>
                <w:rFonts w:ascii="Times New Roman" w:eastAsia="Times New Roman" w:hAnsi="Times New Roman"/>
                <w:i/>
                <w:iCs/>
                <w:lang w:val="es-PE" w:eastAsia="es-PE"/>
              </w:rPr>
              <w:tab/>
            </w:r>
            <w:r w:rsidR="00557563" w:rsidRPr="00307AA5">
              <w:rPr>
                <w:rFonts w:ascii="Times New Roman" w:eastAsia="Times New Roman" w:hAnsi="Times New Roman"/>
                <w:b/>
                <w:bCs/>
                <w:lang w:val="es-PE" w:eastAsia="es-PE"/>
              </w:rPr>
              <w:t>Institución Particular</w:t>
            </w:r>
          </w:p>
        </w:tc>
        <w:tc>
          <w:tcPr>
            <w:tcW w:w="891" w:type="dxa"/>
            <w:tcBorders>
              <w:top w:val="single" w:sz="4" w:space="0" w:color="auto"/>
              <w:bottom w:val="single" w:sz="4" w:space="0" w:color="auto"/>
            </w:tcBorders>
            <w:vAlign w:val="center"/>
          </w:tcPr>
          <w:p w14:paraId="5A39251F" w14:textId="546B56C2" w:rsidR="00557563" w:rsidRPr="00307AA5" w:rsidRDefault="00557563" w:rsidP="00307AA5">
            <w:pPr>
              <w:spacing w:line="360" w:lineRule="auto"/>
              <w:jc w:val="both"/>
              <w:rPr>
                <w:rFonts w:ascii="Times New Roman" w:eastAsia="Times New Roman" w:hAnsi="Times New Roman"/>
                <w:b/>
                <w:bCs/>
                <w:i/>
                <w:iCs/>
                <w:lang w:val="es-PE" w:eastAsia="es-PE"/>
              </w:rPr>
            </w:pPr>
            <w:r w:rsidRPr="00307AA5">
              <w:rPr>
                <w:rFonts w:ascii="Times New Roman" w:eastAsia="Times New Roman" w:hAnsi="Times New Roman"/>
                <w:b/>
                <w:bCs/>
                <w:lang w:val="es-PE" w:eastAsia="es-PE"/>
              </w:rPr>
              <w:t>RVOE</w:t>
            </w:r>
          </w:p>
        </w:tc>
        <w:tc>
          <w:tcPr>
            <w:tcW w:w="1133" w:type="dxa"/>
            <w:tcBorders>
              <w:top w:val="single" w:sz="4" w:space="0" w:color="auto"/>
              <w:bottom w:val="single" w:sz="4" w:space="0" w:color="auto"/>
            </w:tcBorders>
            <w:vAlign w:val="center"/>
          </w:tcPr>
          <w:p w14:paraId="5D51F771" w14:textId="34EC4451" w:rsidR="00557563" w:rsidRPr="00307AA5" w:rsidRDefault="00557563" w:rsidP="00307AA5">
            <w:pPr>
              <w:spacing w:line="360" w:lineRule="auto"/>
              <w:jc w:val="both"/>
              <w:rPr>
                <w:rFonts w:ascii="Times New Roman" w:eastAsia="Times New Roman" w:hAnsi="Times New Roman"/>
                <w:b/>
                <w:bCs/>
                <w:i/>
                <w:iCs/>
                <w:lang w:val="es-PE" w:eastAsia="es-PE"/>
              </w:rPr>
            </w:pPr>
            <w:r w:rsidRPr="00307AA5">
              <w:rPr>
                <w:rFonts w:ascii="Times New Roman" w:eastAsia="Times New Roman" w:hAnsi="Times New Roman"/>
                <w:b/>
                <w:bCs/>
                <w:lang w:val="es-PE" w:eastAsia="es-PE"/>
              </w:rPr>
              <w:t>Planteles</w:t>
            </w:r>
          </w:p>
        </w:tc>
        <w:tc>
          <w:tcPr>
            <w:tcW w:w="1317" w:type="dxa"/>
            <w:tcBorders>
              <w:top w:val="single" w:sz="4" w:space="0" w:color="auto"/>
              <w:bottom w:val="single" w:sz="4" w:space="0" w:color="auto"/>
            </w:tcBorders>
            <w:vAlign w:val="center"/>
          </w:tcPr>
          <w:p w14:paraId="2C8E9A72" w14:textId="6705AA38" w:rsidR="00557563" w:rsidRPr="00307AA5" w:rsidRDefault="00557563" w:rsidP="00307AA5">
            <w:pPr>
              <w:spacing w:line="360" w:lineRule="auto"/>
              <w:jc w:val="both"/>
              <w:rPr>
                <w:rFonts w:ascii="Times New Roman" w:eastAsia="Times New Roman" w:hAnsi="Times New Roman"/>
                <w:b/>
                <w:bCs/>
                <w:i/>
                <w:iCs/>
                <w:lang w:val="es-PE" w:eastAsia="es-PE"/>
              </w:rPr>
            </w:pPr>
            <w:r w:rsidRPr="00307AA5">
              <w:rPr>
                <w:rFonts w:ascii="Times New Roman" w:eastAsia="Times New Roman" w:hAnsi="Times New Roman"/>
                <w:b/>
                <w:bCs/>
                <w:lang w:val="es-PE" w:eastAsia="es-PE"/>
              </w:rPr>
              <w:t>Estudiantes</w:t>
            </w:r>
          </w:p>
        </w:tc>
      </w:tr>
      <w:tr w:rsidR="00557563" w:rsidRPr="00307AA5" w14:paraId="4459B87C" w14:textId="77777777" w:rsidTr="00761A00">
        <w:tc>
          <w:tcPr>
            <w:tcW w:w="5103" w:type="dxa"/>
            <w:tcBorders>
              <w:top w:val="single" w:sz="4" w:space="0" w:color="auto"/>
            </w:tcBorders>
            <w:vAlign w:val="center"/>
          </w:tcPr>
          <w:p w14:paraId="0CFFEFFC" w14:textId="2CC41C60"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del Valle de México (UVM)</w:t>
            </w:r>
          </w:p>
        </w:tc>
        <w:tc>
          <w:tcPr>
            <w:tcW w:w="891" w:type="dxa"/>
            <w:tcBorders>
              <w:top w:val="single" w:sz="4" w:space="0" w:color="auto"/>
            </w:tcBorders>
            <w:vAlign w:val="center"/>
          </w:tcPr>
          <w:p w14:paraId="51A63C3C" w14:textId="7A814B30"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3,902</w:t>
            </w:r>
          </w:p>
        </w:tc>
        <w:tc>
          <w:tcPr>
            <w:tcW w:w="1133" w:type="dxa"/>
            <w:tcBorders>
              <w:top w:val="single" w:sz="4" w:space="0" w:color="auto"/>
            </w:tcBorders>
            <w:vAlign w:val="center"/>
          </w:tcPr>
          <w:p w14:paraId="7161B1A5" w14:textId="4D2E791B"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46</w:t>
            </w:r>
          </w:p>
        </w:tc>
        <w:tc>
          <w:tcPr>
            <w:tcW w:w="1317" w:type="dxa"/>
            <w:tcBorders>
              <w:top w:val="single" w:sz="4" w:space="0" w:color="auto"/>
            </w:tcBorders>
            <w:vAlign w:val="center"/>
          </w:tcPr>
          <w:p w14:paraId="4BE8FDB4" w14:textId="0AE8E6A4"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98,754</w:t>
            </w:r>
          </w:p>
        </w:tc>
      </w:tr>
      <w:tr w:rsidR="00557563" w:rsidRPr="00307AA5" w14:paraId="2929FCE4" w14:textId="77777777" w:rsidTr="00761A00">
        <w:tc>
          <w:tcPr>
            <w:tcW w:w="5103" w:type="dxa"/>
            <w:vAlign w:val="center"/>
          </w:tcPr>
          <w:p w14:paraId="271960AC" w14:textId="23E4CF49"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Instituto Tecnológico y de Estudios Superiores de Monterrey (ITESM)</w:t>
            </w:r>
          </w:p>
        </w:tc>
        <w:tc>
          <w:tcPr>
            <w:tcW w:w="891" w:type="dxa"/>
            <w:vAlign w:val="center"/>
          </w:tcPr>
          <w:p w14:paraId="139E7756" w14:textId="1BF0F5B8"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2,068</w:t>
            </w:r>
          </w:p>
        </w:tc>
        <w:tc>
          <w:tcPr>
            <w:tcW w:w="1133" w:type="dxa"/>
            <w:vAlign w:val="center"/>
          </w:tcPr>
          <w:p w14:paraId="4154D158" w14:textId="060F514A"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30</w:t>
            </w:r>
          </w:p>
        </w:tc>
        <w:tc>
          <w:tcPr>
            <w:tcW w:w="1317" w:type="dxa"/>
            <w:vAlign w:val="center"/>
          </w:tcPr>
          <w:p w14:paraId="6DEFF229" w14:textId="14AE3543"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59,949</w:t>
            </w:r>
          </w:p>
        </w:tc>
      </w:tr>
      <w:tr w:rsidR="00557563" w:rsidRPr="00307AA5" w14:paraId="17646315" w14:textId="77777777" w:rsidTr="00761A00">
        <w:tc>
          <w:tcPr>
            <w:tcW w:w="5103" w:type="dxa"/>
            <w:vAlign w:val="center"/>
          </w:tcPr>
          <w:p w14:paraId="6B5A5456" w14:textId="7A3E19B6"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del Desarrollo Profesional (UNIDEP)</w:t>
            </w:r>
          </w:p>
        </w:tc>
        <w:tc>
          <w:tcPr>
            <w:tcW w:w="891" w:type="dxa"/>
            <w:vAlign w:val="center"/>
          </w:tcPr>
          <w:p w14:paraId="03625517" w14:textId="3B6D5B2C"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1,501</w:t>
            </w:r>
          </w:p>
        </w:tc>
        <w:tc>
          <w:tcPr>
            <w:tcW w:w="1133" w:type="dxa"/>
            <w:vAlign w:val="center"/>
          </w:tcPr>
          <w:p w14:paraId="6E6711EB" w14:textId="6D4F6ACB"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61</w:t>
            </w:r>
          </w:p>
        </w:tc>
        <w:tc>
          <w:tcPr>
            <w:tcW w:w="1317" w:type="dxa"/>
            <w:vAlign w:val="center"/>
          </w:tcPr>
          <w:p w14:paraId="032757EA" w14:textId="1AC0D659"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11,878</w:t>
            </w:r>
          </w:p>
        </w:tc>
      </w:tr>
      <w:tr w:rsidR="00557563" w:rsidRPr="00307AA5" w14:paraId="6522FFD6" w14:textId="77777777" w:rsidTr="00761A00">
        <w:tc>
          <w:tcPr>
            <w:tcW w:w="5103" w:type="dxa"/>
            <w:vAlign w:val="center"/>
          </w:tcPr>
          <w:p w14:paraId="609E9650" w14:textId="72EBDDAF"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Tecnológica de México (UNITEC)</w:t>
            </w:r>
          </w:p>
        </w:tc>
        <w:tc>
          <w:tcPr>
            <w:tcW w:w="891" w:type="dxa"/>
            <w:vAlign w:val="center"/>
          </w:tcPr>
          <w:p w14:paraId="3EF95640" w14:textId="5DA47C1B"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1,142</w:t>
            </w:r>
          </w:p>
        </w:tc>
        <w:tc>
          <w:tcPr>
            <w:tcW w:w="1133" w:type="dxa"/>
            <w:vAlign w:val="center"/>
          </w:tcPr>
          <w:p w14:paraId="7E6EB142" w14:textId="0A3A09A1"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13</w:t>
            </w:r>
          </w:p>
        </w:tc>
        <w:tc>
          <w:tcPr>
            <w:tcW w:w="1317" w:type="dxa"/>
            <w:vAlign w:val="center"/>
          </w:tcPr>
          <w:p w14:paraId="77933346" w14:textId="6F901597"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100,941</w:t>
            </w:r>
          </w:p>
        </w:tc>
      </w:tr>
      <w:tr w:rsidR="00557563" w:rsidRPr="00307AA5" w14:paraId="5CD0AD88" w14:textId="77777777" w:rsidTr="00761A00">
        <w:tc>
          <w:tcPr>
            <w:tcW w:w="5103" w:type="dxa"/>
            <w:vAlign w:val="center"/>
          </w:tcPr>
          <w:p w14:paraId="487A61A5" w14:textId="0599333A"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Anáhuac</w:t>
            </w:r>
          </w:p>
        </w:tc>
        <w:tc>
          <w:tcPr>
            <w:tcW w:w="891" w:type="dxa"/>
            <w:vAlign w:val="center"/>
          </w:tcPr>
          <w:p w14:paraId="1A00E1CB" w14:textId="614EE4CD"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1,057</w:t>
            </w:r>
          </w:p>
        </w:tc>
        <w:tc>
          <w:tcPr>
            <w:tcW w:w="1133" w:type="dxa"/>
            <w:vAlign w:val="center"/>
          </w:tcPr>
          <w:p w14:paraId="2EE2DCF9" w14:textId="2AAC772C"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11</w:t>
            </w:r>
          </w:p>
        </w:tc>
        <w:tc>
          <w:tcPr>
            <w:tcW w:w="1317" w:type="dxa"/>
            <w:vAlign w:val="center"/>
          </w:tcPr>
          <w:p w14:paraId="50440716" w14:textId="35649FA3"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40,026</w:t>
            </w:r>
          </w:p>
        </w:tc>
      </w:tr>
      <w:tr w:rsidR="00557563" w:rsidRPr="00307AA5" w14:paraId="1B72401F" w14:textId="77777777" w:rsidTr="00761A00">
        <w:tc>
          <w:tcPr>
            <w:tcW w:w="5103" w:type="dxa"/>
            <w:vAlign w:val="center"/>
          </w:tcPr>
          <w:p w14:paraId="6FA79662" w14:textId="704D0315"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Interamericana para el Desarrollo (UNID)</w:t>
            </w:r>
          </w:p>
        </w:tc>
        <w:tc>
          <w:tcPr>
            <w:tcW w:w="891" w:type="dxa"/>
            <w:vAlign w:val="center"/>
          </w:tcPr>
          <w:p w14:paraId="0B41183A" w14:textId="557C38C9"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917</w:t>
            </w:r>
          </w:p>
        </w:tc>
        <w:tc>
          <w:tcPr>
            <w:tcW w:w="1133" w:type="dxa"/>
            <w:vAlign w:val="center"/>
          </w:tcPr>
          <w:p w14:paraId="5B4B2ED4" w14:textId="199B501D"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51</w:t>
            </w:r>
          </w:p>
        </w:tc>
        <w:tc>
          <w:tcPr>
            <w:tcW w:w="1317" w:type="dxa"/>
            <w:vAlign w:val="center"/>
          </w:tcPr>
          <w:p w14:paraId="6E5058F9" w14:textId="765D1AE2"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27,198</w:t>
            </w:r>
          </w:p>
        </w:tc>
      </w:tr>
      <w:tr w:rsidR="00557563" w:rsidRPr="00307AA5" w14:paraId="51CB7A4E" w14:textId="77777777" w:rsidTr="00761A00">
        <w:tc>
          <w:tcPr>
            <w:tcW w:w="5103" w:type="dxa"/>
            <w:vAlign w:val="center"/>
          </w:tcPr>
          <w:p w14:paraId="41073B92" w14:textId="6CDD52B3"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ICEL</w:t>
            </w:r>
          </w:p>
        </w:tc>
        <w:tc>
          <w:tcPr>
            <w:tcW w:w="891" w:type="dxa"/>
            <w:vAlign w:val="center"/>
          </w:tcPr>
          <w:p w14:paraId="4D8537AA" w14:textId="01BA8DF3"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853</w:t>
            </w:r>
          </w:p>
        </w:tc>
        <w:tc>
          <w:tcPr>
            <w:tcW w:w="1133" w:type="dxa"/>
            <w:vAlign w:val="center"/>
          </w:tcPr>
          <w:p w14:paraId="0AB5569E" w14:textId="6CE44C8F"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11</w:t>
            </w:r>
          </w:p>
        </w:tc>
        <w:tc>
          <w:tcPr>
            <w:tcW w:w="1317" w:type="dxa"/>
            <w:vAlign w:val="center"/>
          </w:tcPr>
          <w:p w14:paraId="69C8A76A" w14:textId="0D5A0D61"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8,046</w:t>
            </w:r>
          </w:p>
        </w:tc>
      </w:tr>
      <w:tr w:rsidR="00557563" w:rsidRPr="00307AA5" w14:paraId="7D05F0FE" w14:textId="77777777" w:rsidTr="00761A00">
        <w:tc>
          <w:tcPr>
            <w:tcW w:w="5103" w:type="dxa"/>
            <w:vAlign w:val="center"/>
          </w:tcPr>
          <w:p w14:paraId="72363376" w14:textId="52BFFD5B"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Enseñanza e Investigación Superior (TEC Milenio)</w:t>
            </w:r>
          </w:p>
        </w:tc>
        <w:tc>
          <w:tcPr>
            <w:tcW w:w="891" w:type="dxa"/>
            <w:vAlign w:val="center"/>
          </w:tcPr>
          <w:p w14:paraId="24613D31" w14:textId="2A6771F6"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711</w:t>
            </w:r>
          </w:p>
        </w:tc>
        <w:tc>
          <w:tcPr>
            <w:tcW w:w="1133" w:type="dxa"/>
            <w:vAlign w:val="center"/>
          </w:tcPr>
          <w:p w14:paraId="41753613" w14:textId="5D8BC567"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38</w:t>
            </w:r>
          </w:p>
        </w:tc>
        <w:tc>
          <w:tcPr>
            <w:tcW w:w="1317" w:type="dxa"/>
            <w:vAlign w:val="center"/>
          </w:tcPr>
          <w:p w14:paraId="48A8565C" w14:textId="5620F4DB"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41,911</w:t>
            </w:r>
          </w:p>
        </w:tc>
      </w:tr>
      <w:tr w:rsidR="00557563" w:rsidRPr="00307AA5" w14:paraId="5B1E1DBA" w14:textId="77777777" w:rsidTr="00761A00">
        <w:tc>
          <w:tcPr>
            <w:tcW w:w="5103" w:type="dxa"/>
            <w:vAlign w:val="center"/>
          </w:tcPr>
          <w:p w14:paraId="061FD24A" w14:textId="495E59BD"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Instituto Universitario del Centro de México (EDUCEM)</w:t>
            </w:r>
          </w:p>
        </w:tc>
        <w:tc>
          <w:tcPr>
            <w:tcW w:w="891" w:type="dxa"/>
            <w:vAlign w:val="center"/>
          </w:tcPr>
          <w:p w14:paraId="0DD30D18" w14:textId="43A57BE1"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455</w:t>
            </w:r>
          </w:p>
        </w:tc>
        <w:tc>
          <w:tcPr>
            <w:tcW w:w="1133" w:type="dxa"/>
            <w:vAlign w:val="center"/>
          </w:tcPr>
          <w:p w14:paraId="74AA0BA3" w14:textId="3E8E46DF"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65</w:t>
            </w:r>
          </w:p>
        </w:tc>
        <w:tc>
          <w:tcPr>
            <w:tcW w:w="1317" w:type="dxa"/>
            <w:vAlign w:val="center"/>
          </w:tcPr>
          <w:p w14:paraId="3A8D55B7" w14:textId="7341B492"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17,676</w:t>
            </w:r>
          </w:p>
        </w:tc>
      </w:tr>
      <w:tr w:rsidR="00557563" w:rsidRPr="00307AA5" w14:paraId="35C11FE5" w14:textId="77777777" w:rsidTr="00761A00">
        <w:tc>
          <w:tcPr>
            <w:tcW w:w="5103" w:type="dxa"/>
            <w:vAlign w:val="center"/>
          </w:tcPr>
          <w:p w14:paraId="2D675704" w14:textId="3AB943E5"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Universidad del Valle de Atemajac (UNIVA)</w:t>
            </w:r>
          </w:p>
        </w:tc>
        <w:tc>
          <w:tcPr>
            <w:tcW w:w="891" w:type="dxa"/>
            <w:vAlign w:val="center"/>
          </w:tcPr>
          <w:p w14:paraId="70820440" w14:textId="706E6F98"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435</w:t>
            </w:r>
          </w:p>
        </w:tc>
        <w:tc>
          <w:tcPr>
            <w:tcW w:w="1133" w:type="dxa"/>
            <w:vAlign w:val="center"/>
          </w:tcPr>
          <w:p w14:paraId="46E9F63F" w14:textId="57BC1E64"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16</w:t>
            </w:r>
          </w:p>
        </w:tc>
        <w:tc>
          <w:tcPr>
            <w:tcW w:w="1317" w:type="dxa"/>
            <w:vAlign w:val="center"/>
          </w:tcPr>
          <w:p w14:paraId="1898B76A" w14:textId="66E6CC0D" w:rsidR="00557563" w:rsidRPr="00307AA5" w:rsidRDefault="00557563" w:rsidP="00307AA5">
            <w:pPr>
              <w:spacing w:line="360" w:lineRule="auto"/>
              <w:jc w:val="both"/>
              <w:rPr>
                <w:rFonts w:ascii="Times New Roman" w:eastAsia="Times New Roman" w:hAnsi="Times New Roman"/>
                <w:i/>
                <w:iCs/>
                <w:lang w:val="es-PE" w:eastAsia="es-PE"/>
              </w:rPr>
            </w:pPr>
            <w:r w:rsidRPr="00307AA5">
              <w:rPr>
                <w:rFonts w:ascii="Times New Roman" w:eastAsia="Times New Roman" w:hAnsi="Times New Roman"/>
                <w:lang w:val="es-PE" w:eastAsia="es-PE"/>
              </w:rPr>
              <w:t>10,532</w:t>
            </w:r>
          </w:p>
        </w:tc>
      </w:tr>
    </w:tbl>
    <w:p w14:paraId="79213189" w14:textId="562BCECE" w:rsidR="00BF235E" w:rsidRPr="00F66A62" w:rsidRDefault="00BF235E" w:rsidP="0012291C">
      <w:pPr>
        <w:spacing w:line="240" w:lineRule="auto"/>
        <w:jc w:val="both"/>
        <w:rPr>
          <w:rFonts w:ascii="Times New Roman" w:eastAsia="Times New Roman" w:hAnsi="Times New Roman"/>
          <w:sz w:val="20"/>
          <w:szCs w:val="24"/>
          <w:lang w:val="es-PE" w:eastAsia="es-PE"/>
        </w:rPr>
      </w:pPr>
      <w:r w:rsidRPr="00FD64D8">
        <w:rPr>
          <w:rFonts w:ascii="Times New Roman" w:eastAsia="Times New Roman" w:hAnsi="Times New Roman"/>
          <w:i/>
          <w:iCs/>
          <w:lang w:val="es-PE" w:eastAsia="es-PE"/>
        </w:rPr>
        <w:t>Nota</w:t>
      </w:r>
      <w:r w:rsidRPr="00F66A62">
        <w:rPr>
          <w:rFonts w:ascii="Times New Roman" w:eastAsia="Times New Roman" w:hAnsi="Times New Roman"/>
          <w:i/>
          <w:iCs/>
          <w:sz w:val="20"/>
          <w:szCs w:val="24"/>
          <w:lang w:val="es-PE" w:eastAsia="es-PE"/>
        </w:rPr>
        <w:t>.</w:t>
      </w:r>
      <w:r w:rsidRPr="00F66A62">
        <w:rPr>
          <w:rFonts w:ascii="Times New Roman" w:eastAsia="Times New Roman" w:hAnsi="Times New Roman"/>
          <w:sz w:val="20"/>
          <w:szCs w:val="24"/>
          <w:lang w:val="es-PE" w:eastAsia="es-PE"/>
        </w:rPr>
        <w:t xml:space="preserve"> </w:t>
      </w:r>
      <w:r w:rsidRPr="00FD64D8">
        <w:rPr>
          <w:rFonts w:ascii="Times New Roman" w:eastAsia="Times New Roman" w:hAnsi="Times New Roman"/>
          <w:lang w:val="es-PE" w:eastAsia="es-PE"/>
        </w:rPr>
        <w:t>Fuente: Dirección General de Acreditación, Incorporación y Revalidación (2024) y Asociación Nacional de Universidades e Instituciones de Educación Superior (ANUIES, 2023).</w:t>
      </w:r>
    </w:p>
    <w:p w14:paraId="09763BF3" w14:textId="6BF22D51"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lastRenderedPageBreak/>
        <w:t>Según la ANUIES (2023), durante el ciclo escolar 2022</w:t>
      </w:r>
      <w:r w:rsidR="00ED1DD4" w:rsidRPr="00F66A62">
        <w:rPr>
          <w:rFonts w:ascii="Times New Roman" w:hAnsi="Times New Roman"/>
          <w:sz w:val="24"/>
          <w:szCs w:val="24"/>
        </w:rPr>
        <w:t>-</w:t>
      </w:r>
      <w:r w:rsidRPr="00F66A62">
        <w:rPr>
          <w:rFonts w:ascii="Times New Roman" w:hAnsi="Times New Roman"/>
          <w:sz w:val="24"/>
          <w:szCs w:val="24"/>
        </w:rPr>
        <w:t>2023 México registró 5.19 millones de estudiantes en el nivel superior. De ellos, 416,911 alumnos se encontraban matriculados en las diez universidades privadas con más RVOE, lo que equivale al 8% de la matrícula nacional. En otras palabras, uno de cada doce estudiantes universitarios cursa estudios en alguna de estas instituciones privadas de gran escala.</w:t>
      </w:r>
    </w:p>
    <w:p w14:paraId="17E69167" w14:textId="3B2AD00C"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Entre ellas, la UNITEC se posiciona como la universidad particular con mayor número de estudiantes (100,941), seguida muy de cerca por la UVM (98,754). Ambas pertenecen al mismo consorcio educativo, el cual concentra en conjunto 199,695 estudiantes, equivalente al 3.8% de toda la matrícula nacional. Asimismo, el ITESM (60,000 estudiantes) y TEC Milenio (42,000 estudiantes) —que integran otro conglomerado institucional— reúnen el 1.9% de la matrícula total. En conjunto, los cuatro principales corporativos privados del país (UVM, UNITEC, ITESM y TEC Milenio) concentran el 5.8% de la matrícula universitaria mexicana, lo que refleja una marcada </w:t>
      </w:r>
      <w:proofErr w:type="spellStart"/>
      <w:r w:rsidRPr="00F66A62">
        <w:rPr>
          <w:rFonts w:ascii="Times New Roman" w:hAnsi="Times New Roman"/>
          <w:sz w:val="24"/>
          <w:szCs w:val="24"/>
        </w:rPr>
        <w:t>oligopolización</w:t>
      </w:r>
      <w:proofErr w:type="spellEnd"/>
      <w:r w:rsidRPr="00F66A62">
        <w:rPr>
          <w:rFonts w:ascii="Times New Roman" w:hAnsi="Times New Roman"/>
          <w:sz w:val="24"/>
          <w:szCs w:val="24"/>
        </w:rPr>
        <w:t xml:space="preserve"> del sector educativo privado y plantea interrogantes sobre la equidad, la calidad y la regulación en la educación superior.</w:t>
      </w:r>
    </w:p>
    <w:p w14:paraId="52B476F3" w14:textId="4AEB2083" w:rsidR="00C21E61"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Los resultados expuestos muestran una estructura educativa privada altamente centralizada y concentrada, tanto en términos geográficos como institucionales. La expansión del RVOE federal ha permitido un crecimiento sostenido de la oferta educativa, pero también ha favorecido la consolidación de grupos universitarios corporativos con amplio poder económico y académico, capaces de dominar el mercado educativo </w:t>
      </w:r>
      <w:r w:rsidR="00BA1B70" w:rsidRPr="00F66A62">
        <w:rPr>
          <w:rFonts w:ascii="Times New Roman" w:hAnsi="Times New Roman"/>
          <w:sz w:val="24"/>
          <w:szCs w:val="24"/>
        </w:rPr>
        <w:t>na</w:t>
      </w:r>
      <w:r w:rsidRPr="00F66A62">
        <w:rPr>
          <w:rFonts w:ascii="Times New Roman" w:hAnsi="Times New Roman"/>
          <w:sz w:val="24"/>
          <w:szCs w:val="24"/>
        </w:rPr>
        <w:t xml:space="preserve">cional. </w:t>
      </w:r>
    </w:p>
    <w:p w14:paraId="0364D1C5" w14:textId="462589B1" w:rsidR="00BF235E" w:rsidRPr="00F66A62" w:rsidRDefault="00BF235E" w:rsidP="006D5957">
      <w:pPr>
        <w:tabs>
          <w:tab w:val="left" w:pos="2599"/>
        </w:tabs>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Esta concentración pone en evidencia la necesidad de fortalecer los mecanismos de control, transparencia y supervisión en la autorización y seguimiento de los RVOE, así como de promover políticas que garanticen una distribución más equitativa y territorialmente equilibrada de la oferta educativa.</w:t>
      </w:r>
    </w:p>
    <w:p w14:paraId="4DD032A1" w14:textId="7F330AF3"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En consecuencia, los hallazgos obtenidos constituyen la base empírica para discutir, en el apartado siguiente, las implicaciones legales, administrativas y de gobernanza educativa derivadas de la coexistencia de competencias federales y estatales en materia de reconocimiento oficial y certificación profesional en México.</w:t>
      </w:r>
    </w:p>
    <w:p w14:paraId="707DA2F3" w14:textId="57F64027" w:rsidR="008712B1" w:rsidRPr="00F66A62" w:rsidRDefault="008712B1" w:rsidP="00F66A62">
      <w:pPr>
        <w:spacing w:before="120" w:after="120" w:line="360" w:lineRule="auto"/>
        <w:jc w:val="center"/>
        <w:rPr>
          <w:rFonts w:ascii="Times New Roman" w:hAnsi="Times New Roman"/>
          <w:b/>
          <w:bCs/>
          <w:sz w:val="24"/>
          <w:szCs w:val="24"/>
        </w:rPr>
      </w:pPr>
      <w:r w:rsidRPr="00F66A62">
        <w:rPr>
          <w:rFonts w:ascii="Times New Roman" w:hAnsi="Times New Roman"/>
          <w:b/>
          <w:bCs/>
          <w:sz w:val="24"/>
          <w:szCs w:val="24"/>
        </w:rPr>
        <w:t>Discusión</w:t>
      </w:r>
    </w:p>
    <w:p w14:paraId="0028491F" w14:textId="0053FC39" w:rsidR="00BF235E" w:rsidRPr="00F66A62" w:rsidRDefault="00BF235E"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 xml:space="preserve">Los hallazgos derivados del análisis documental confirman la complejidad normativa y administrativa del sistema mexicano de reconocimiento oficial de estudios superiores y </w:t>
      </w:r>
      <w:r w:rsidRPr="00F66A62">
        <w:rPr>
          <w:rFonts w:ascii="Times New Roman" w:hAnsi="Times New Roman"/>
          <w:sz w:val="24"/>
          <w:szCs w:val="24"/>
        </w:rPr>
        <w:lastRenderedPageBreak/>
        <w:t>certificación profesional, caracterizado por un marco regulatorio extenso, competencias compartidas y zonas de ambigüedad institucional. En coherencia con el enfoque cualitativo y hermenéutico-analítico adoptado, los resultados permiten comprender que el problema no se limita a un ajuste administrativo, sino que expresa tensiones estructurales asociadas a la gobernanza del sistema educativo superior, particularmente en lo relativo al Reconocimiento de Validez Oficial de Estudios (RVOE), la titulación universitaria y la emisión de cédulas profesionales.</w:t>
      </w:r>
    </w:p>
    <w:p w14:paraId="2489D7AC" w14:textId="47B78F5F" w:rsidR="00BF235E" w:rsidRPr="00F66A62" w:rsidRDefault="00BF235E"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En este marco, y en concordancia con Álvarez (2023), la denominada Cuarta Transformación no introdujo modificaciones sustantivas en el régimen jurídico de la educación superior privada, manteniéndose un esquema de regulación limitada y mecanismos de fiscalización insuficientes. Si bien la Ley General de Educación Superior (LGES) reafirma la figura del RVOE y establece disposiciones orientadas a la administración del reconocimiento oficial, los cambios identificados se presentan como ajustes de gestión que no transforman de manera significativa la estructura de competencias ni los procedimientos de supervisión estatal. Esto resulta relevante si se considera que, según los registros oficiales, hasta marzo de 2024 el sistema federal concentra 33,871 programas con RVOE vigentes distribuidos en 2,691 instituciones particulares, con una marcada concentración territorial en la Ciudad de México y el Estado de México (38% del total nacional) (DGAIR, 2024; Villalobos, 2020). Dicho escenario refuerza la necesidad de marcos regulatorios consistentes, dada la magnitud del sistema y sus efectos sobre la movilidad profesional y la legitimidad de los procesos de certificación.</w:t>
      </w:r>
    </w:p>
    <w:p w14:paraId="572397CF" w14:textId="61D35CB7" w:rsidR="00BF235E" w:rsidRPr="00F66A62" w:rsidRDefault="00BF235E" w:rsidP="00307AA5">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Desde una perspectiva histórica, el Convenio de Coordinación SEP</w:t>
      </w:r>
      <w:r w:rsidR="00ED1DD4" w:rsidRPr="00F66A62">
        <w:rPr>
          <w:rFonts w:ascii="Times New Roman" w:hAnsi="Times New Roman"/>
          <w:sz w:val="24"/>
          <w:szCs w:val="24"/>
        </w:rPr>
        <w:t>-</w:t>
      </w:r>
      <w:r w:rsidRPr="00F66A62">
        <w:rPr>
          <w:rFonts w:ascii="Times New Roman" w:hAnsi="Times New Roman"/>
          <w:sz w:val="24"/>
          <w:szCs w:val="24"/>
        </w:rPr>
        <w:t xml:space="preserve">entidades federativas, implementado entre 1974 y 1976, permitió la unificación nacional en la emisión de cédulas profesionales, consolidando un sistema relativamente estable por más de cuatro décadas. Sin embargo, la decisión del gobierno federal en 2018 de dar por terminada dicha coordinación fragmentó un modelo que operaba de forma articulada, originando un escenario de descoordinación intergubernamental. Aunque la modificación fue presentada como un proceso de modernización tecnológica y simplificación administrativa, en la práctica generó vacíos jurídicos y tensiones competenciales, favoreciendo la aparición de esquemas estatales de emisión de cédulas profesionales sin un reconocimiento nacional plenamente consolidado. Este hallazgo coincide con la </w:t>
      </w:r>
      <w:r w:rsidRPr="00F66A62">
        <w:rPr>
          <w:rFonts w:ascii="Times New Roman" w:hAnsi="Times New Roman"/>
          <w:sz w:val="24"/>
          <w:szCs w:val="24"/>
        </w:rPr>
        <w:lastRenderedPageBreak/>
        <w:t>evidencia documental de inconsistencias operativas y divergencias en los procedimientos, lo cual impacta directamente en egresados e instituciones.</w:t>
      </w:r>
    </w:p>
    <w:p w14:paraId="0B83BC84" w14:textId="2C636715"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En ese contexto, la ruptura del esquema coordinado evidencia un conflicto estructural entre centralismo jurídico y descentralización administrativa, donde la distribución de competencias no ha sido acompañada por una armonización normativa suficiente. Tal como advierte Díaz (2013), la Ley Reglamentaria del Artículo 5.º Constitucional conserva márgenes de ambigüedad que permiten interpretaciones divergentes sobre el alcance de los títulos y la certificación profesional, situando a egresados y universidades ante escenarios de incertidumbre legal. En este punto, los hallazgos adquieren especial relevancia, pues muestran que la coexistencia de disposiciones federales y estatales no se resuelve únicamente mediante criterios administrativos, sino que exige una clarificación jurídica que preserve la unidad del sistema educativo y la seguridad jurídica del ejercicio profesional.</w:t>
      </w:r>
    </w:p>
    <w:p w14:paraId="57E3BF09" w14:textId="2DDC8E03" w:rsidR="00BF235E" w:rsidRPr="00F66A62" w:rsidRDefault="00BF235E" w:rsidP="006D5957">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De manera complementaria, el criterio sostenido por la Suprema Corte de Justicia de la Nación (SCJN, 2023), en el amparo en revisión 466/2022 relativo al Estado de Jalisco, reafirma que la expedición de cédulas profesionales constituye una atribución de orden federal, lo cual delimita el margen de actuación estatal en este ámbito. No obstante, el análisis realizado sugiere que, mientras no se impulse una reforma estructural de la Ley Reglamentaria, persistirá un “limbo normativo” en el que coexisten prácticas paralelas de certificación y registro profesional. En consecuencia, se producen efectos de alta sensibilidad pública: restricción de la movilidad profesional, debilitamiento de la credibilidad institucional y mayor riesgo de desigualdad administrativa entre regiones del país.</w:t>
      </w:r>
    </w:p>
    <w:p w14:paraId="5724A71E" w14:textId="74B53AA7" w:rsidR="00BF235E" w:rsidRPr="00F66A62" w:rsidRDefault="00BF235E" w:rsidP="00307AA5">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 xml:space="preserve">Asimismo, los resultados muestran que el crecimiento del RVOE federal ha sido sostenido y acelerado, pero con una estructura marcadamente concentrada. Un número reducido de corporativos educativos concentra una proporción significativa de los programas con reconocimiento oficial y de la matrícula nacional. En particular, destaca la concentración institucional en universidades privadas de gran escala como UVM, UNITEC, ITESM y TEC Milenio, así como el hecho de que 416,911 estudiantes se encuentran matriculados en las diez instituciones particulares con mayor número de RVOE, lo que representa el 8% de la matrícula nacional (ANUIES, 2023; DGAIR, 2024). Estos datos refuerzan la importancia de fortalecer mecanismos de supervisión, transparencia y seguimiento institucional, no solo para garantizar calidad académica, sino </w:t>
      </w:r>
      <w:r w:rsidRPr="00F66A62">
        <w:rPr>
          <w:rFonts w:ascii="Times New Roman" w:hAnsi="Times New Roman"/>
          <w:sz w:val="24"/>
          <w:szCs w:val="24"/>
        </w:rPr>
        <w:lastRenderedPageBreak/>
        <w:t>también para preservar la legitimidad del reconocimiento oficial en un sistema crecientemente privatizado y territorialmente desigual.</w:t>
      </w:r>
    </w:p>
    <w:p w14:paraId="342C047D" w14:textId="35296146"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Desde una perspectiva educativa y social, la coexistencia de esquemas federales y estatales en la expedición de cédulas profesionales trasciende el plano administrativo. Sus efectos se proyectan sobre la legitimidad de la certificación universitaria, la inserción laboral, la movilidad profesional y la confianza pública en las instituciones de educación superior. En tal sentido, la seguridad jurídica debe entenderse como un componente esencial del derecho a la educación y del derecho al trabajo profesional, particularmente cuando el Estado reconoce oficialmente un programa académico y, al mismo tiempo, genera condiciones institucionales que pueden dificultar su culminación formal plena.</w:t>
      </w:r>
    </w:p>
    <w:p w14:paraId="17B4FA0B" w14:textId="70B41BE7" w:rsidR="00BF235E" w:rsidRPr="00F66A62" w:rsidRDefault="00BF235E" w:rsidP="00F66A62">
      <w:pPr>
        <w:spacing w:before="120" w:after="120" w:line="360" w:lineRule="auto"/>
        <w:ind w:firstLine="708"/>
        <w:jc w:val="both"/>
        <w:rPr>
          <w:rFonts w:ascii="Times New Roman" w:hAnsi="Times New Roman"/>
          <w:sz w:val="24"/>
          <w:szCs w:val="24"/>
        </w:rPr>
      </w:pPr>
      <w:r w:rsidRPr="00F66A62">
        <w:rPr>
          <w:rFonts w:ascii="Times New Roman" w:hAnsi="Times New Roman"/>
          <w:sz w:val="24"/>
          <w:szCs w:val="24"/>
        </w:rPr>
        <w:t>En conclusión, el estudio permite sostener que la armonización normativa constituye una condición indispensable para restablecer la coherencia del sistema de certificación profesional en México. Una reforma integral de la Ley Reglamentaria del Artículo 5.º Constitucional debería clarificar atribuciones, reconstruir mecanismos de coordinación entre la SEP y las entidades federativas, y garantizar validez nacional, transparencia y equidad en la expedición de títulos y cédulas. Solo mediante una política pública sostenida, con orientación de Estado y no sujeta a coyunturas sexenales, será posible consolidar un sistema de educación superior que combine autonomía institucional, responsabilidad pública y seguridad jurídica para los profesionistas del país.</w:t>
      </w:r>
    </w:p>
    <w:p w14:paraId="7C0D0CFC" w14:textId="5A11C531" w:rsidR="00F6607B" w:rsidRPr="00F66A62" w:rsidRDefault="00F6607B" w:rsidP="00761A00">
      <w:pPr>
        <w:tabs>
          <w:tab w:val="left" w:pos="5423"/>
        </w:tabs>
        <w:spacing w:before="120" w:after="120" w:line="360" w:lineRule="auto"/>
        <w:jc w:val="center"/>
        <w:rPr>
          <w:rFonts w:ascii="Times New Roman" w:hAnsi="Times New Roman"/>
          <w:b/>
          <w:bCs/>
          <w:sz w:val="24"/>
          <w:szCs w:val="24"/>
        </w:rPr>
      </w:pPr>
      <w:r w:rsidRPr="00F66A62">
        <w:rPr>
          <w:rFonts w:ascii="Times New Roman" w:hAnsi="Times New Roman"/>
          <w:b/>
          <w:bCs/>
          <w:sz w:val="24"/>
          <w:szCs w:val="24"/>
        </w:rPr>
        <w:t>Conclusiones</w:t>
      </w:r>
    </w:p>
    <w:p w14:paraId="5DEC3D76" w14:textId="4DBA7A51" w:rsidR="0012291C" w:rsidRPr="00F66A62" w:rsidRDefault="00191CC2"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 xml:space="preserve">El estudio concluye que el reconocimiento oficial de los estudios superiores en México se estructura a partir de atribuciones federales y estatales vinculadas al otorgamiento del Reconocimiento de Validez Oficial de Estudios (RVOE) y a la emisión de documentos académicos, como el certificado de estudios y el título profesional. El análisis documental identifica que, desde 2018, la terminación de los mecanismos de coordinación nacional en la expedición de cédulas profesionales generó un escenario institucional de coexistencia entre cédulas federales y estatales, con superposición de procedimientos y competencias. Asimismo, se determinó que el amparo en revisión 466/2022, resuelto por la Suprema Corte de Justicia de la Nación, delimitó el alcance de la actuación estatal en esta materia, sin que ello haya eliminado la dispersión regulatoria observada en diferentes entidades federativas. Finalmente, se establece que la reforma de la Ley Reglamentaria del Artículo 5.º Constitucional, relativa al Ejercicio de las Profesiones en la Ciudad de </w:t>
      </w:r>
      <w:r w:rsidRPr="00F66A62">
        <w:rPr>
          <w:rFonts w:ascii="Times New Roman" w:hAnsi="Times New Roman"/>
          <w:sz w:val="24"/>
          <w:szCs w:val="24"/>
        </w:rPr>
        <w:lastRenderedPageBreak/>
        <w:t>México, constituye el principal mecanismo normativo para precisar atribuciones y reducir ambigüedades en los procesos de certificación profesional.</w:t>
      </w:r>
    </w:p>
    <w:p w14:paraId="6475F811" w14:textId="77777777" w:rsidR="0012291C" w:rsidRPr="00F66A62" w:rsidRDefault="0012291C" w:rsidP="00F66A62">
      <w:pPr>
        <w:pStyle w:val="Textoindependiente"/>
        <w:spacing w:before="120" w:after="120" w:line="360" w:lineRule="auto"/>
        <w:ind w:right="6"/>
        <w:rPr>
          <w:b/>
        </w:rPr>
      </w:pPr>
      <w:r w:rsidRPr="00F66A62">
        <w:rPr>
          <w:b/>
        </w:rPr>
        <w:t>Contribución de autoría</w:t>
      </w:r>
    </w:p>
    <w:p w14:paraId="3CF3A96C" w14:textId="3F7E20BA" w:rsidR="0012291C" w:rsidRPr="00F66A62" w:rsidRDefault="0012291C" w:rsidP="00F66A62">
      <w:pPr>
        <w:shd w:val="clear" w:color="auto" w:fill="FFFFFF"/>
        <w:spacing w:before="120" w:after="120" w:line="360" w:lineRule="auto"/>
        <w:jc w:val="both"/>
        <w:rPr>
          <w:rFonts w:ascii="Times New Roman" w:eastAsia="Times New Roman" w:hAnsi="Times New Roman"/>
          <w:b/>
          <w:bCs/>
          <w:sz w:val="24"/>
          <w:szCs w:val="24"/>
          <w:lang w:val="es-PE" w:eastAsia="es-PE"/>
        </w:rPr>
      </w:pPr>
      <w:r w:rsidRPr="00F66A62">
        <w:rPr>
          <w:rFonts w:ascii="Times New Roman" w:eastAsia="Times New Roman" w:hAnsi="Times New Roman"/>
          <w:b/>
          <w:bCs/>
          <w:sz w:val="24"/>
          <w:szCs w:val="24"/>
          <w:lang w:val="es-PE" w:eastAsia="es-PE"/>
        </w:rPr>
        <w:t>José Antonio Villalobos López</w:t>
      </w:r>
      <w:r w:rsidRPr="00F66A62">
        <w:rPr>
          <w:rFonts w:ascii="Times New Roman" w:hAnsi="Times New Roman"/>
          <w:b/>
          <w:sz w:val="24"/>
          <w:szCs w:val="24"/>
        </w:rPr>
        <w:t xml:space="preserve"> (JAVL): </w:t>
      </w:r>
      <w:r w:rsidR="008359EE" w:rsidRPr="00F66A62">
        <w:rPr>
          <w:rFonts w:ascii="Times New Roman" w:eastAsia="Times New Roman" w:hAnsi="Times New Roman"/>
          <w:sz w:val="24"/>
          <w:szCs w:val="24"/>
          <w:lang w:val="es-PE" w:eastAsia="es-PE"/>
        </w:rPr>
        <w:t>conceptualización</w:t>
      </w:r>
      <w:r w:rsidR="00257EA4" w:rsidRPr="00F66A62">
        <w:rPr>
          <w:rFonts w:ascii="Times New Roman" w:eastAsia="Times New Roman" w:hAnsi="Times New Roman"/>
          <w:sz w:val="24"/>
          <w:szCs w:val="24"/>
          <w:lang w:val="es-PE" w:eastAsia="es-PE"/>
        </w:rPr>
        <w:t>,</w:t>
      </w:r>
      <w:r w:rsidR="008359EE" w:rsidRPr="00F66A62">
        <w:rPr>
          <w:rFonts w:ascii="Times New Roman" w:eastAsia="Times New Roman" w:hAnsi="Times New Roman"/>
          <w:sz w:val="24"/>
          <w:szCs w:val="24"/>
          <w:lang w:val="es-PE" w:eastAsia="es-PE"/>
        </w:rPr>
        <w:t xml:space="preserve"> metodología</w:t>
      </w:r>
      <w:r w:rsidR="00257EA4" w:rsidRPr="00F66A62">
        <w:rPr>
          <w:rFonts w:ascii="Times New Roman" w:eastAsia="Times New Roman" w:hAnsi="Times New Roman"/>
          <w:sz w:val="24"/>
          <w:szCs w:val="24"/>
          <w:lang w:val="es-PE" w:eastAsia="es-PE"/>
        </w:rPr>
        <w:t>,</w:t>
      </w:r>
      <w:r w:rsidR="008359EE" w:rsidRPr="00F66A62">
        <w:rPr>
          <w:rFonts w:ascii="Times New Roman" w:eastAsia="Times New Roman" w:hAnsi="Times New Roman"/>
          <w:sz w:val="24"/>
          <w:szCs w:val="24"/>
          <w:lang w:val="es-PE" w:eastAsia="es-PE"/>
        </w:rPr>
        <w:t xml:space="preserve"> investigación</w:t>
      </w:r>
      <w:r w:rsidR="00257EA4" w:rsidRPr="00F66A62">
        <w:rPr>
          <w:rFonts w:ascii="Times New Roman" w:eastAsia="Times New Roman" w:hAnsi="Times New Roman"/>
          <w:sz w:val="24"/>
          <w:szCs w:val="24"/>
          <w:lang w:val="es-PE" w:eastAsia="es-PE"/>
        </w:rPr>
        <w:t xml:space="preserve">, </w:t>
      </w:r>
      <w:r w:rsidR="008359EE" w:rsidRPr="00F66A62">
        <w:rPr>
          <w:rFonts w:ascii="Times New Roman" w:eastAsia="Times New Roman" w:hAnsi="Times New Roman"/>
          <w:sz w:val="24"/>
          <w:szCs w:val="24"/>
          <w:lang w:val="es-PE" w:eastAsia="es-PE"/>
        </w:rPr>
        <w:t>análisis formal</w:t>
      </w:r>
      <w:r w:rsidR="00257EA4" w:rsidRPr="00F66A62">
        <w:rPr>
          <w:rFonts w:ascii="Times New Roman" w:eastAsia="Times New Roman" w:hAnsi="Times New Roman"/>
          <w:sz w:val="24"/>
          <w:szCs w:val="24"/>
          <w:lang w:val="es-PE" w:eastAsia="es-PE"/>
        </w:rPr>
        <w:t>,</w:t>
      </w:r>
      <w:r w:rsidR="008359EE" w:rsidRPr="00F66A62">
        <w:rPr>
          <w:rFonts w:ascii="Times New Roman" w:eastAsia="Times New Roman" w:hAnsi="Times New Roman"/>
          <w:sz w:val="24"/>
          <w:szCs w:val="24"/>
          <w:lang w:val="es-PE" w:eastAsia="es-PE"/>
        </w:rPr>
        <w:t xml:space="preserve"> redacción - borrador original</w:t>
      </w:r>
      <w:r w:rsidR="00257EA4" w:rsidRPr="00F66A62">
        <w:rPr>
          <w:rFonts w:ascii="Times New Roman" w:eastAsia="Times New Roman" w:hAnsi="Times New Roman"/>
          <w:sz w:val="24"/>
          <w:szCs w:val="24"/>
          <w:lang w:val="es-PE" w:eastAsia="es-PE"/>
        </w:rPr>
        <w:t xml:space="preserve">, </w:t>
      </w:r>
      <w:r w:rsidR="008359EE" w:rsidRPr="00F66A62">
        <w:rPr>
          <w:rFonts w:ascii="Times New Roman" w:eastAsia="Times New Roman" w:hAnsi="Times New Roman"/>
          <w:sz w:val="24"/>
          <w:szCs w:val="24"/>
          <w:lang w:val="es-PE" w:eastAsia="es-PE"/>
        </w:rPr>
        <w:t>redacción - revisión y edición.</w:t>
      </w:r>
    </w:p>
    <w:p w14:paraId="480E8987" w14:textId="706C3FAB" w:rsidR="0012291C" w:rsidRPr="00F66A62" w:rsidRDefault="0012291C" w:rsidP="00F66A62">
      <w:pPr>
        <w:pStyle w:val="Ttulo3"/>
        <w:spacing w:before="120" w:after="120" w:line="360" w:lineRule="auto"/>
        <w:jc w:val="both"/>
        <w:rPr>
          <w:rFonts w:ascii="Times New Roman" w:hAnsi="Times New Roman"/>
          <w:color w:val="auto"/>
          <w:sz w:val="24"/>
          <w:szCs w:val="24"/>
          <w:lang w:val="es-PE" w:eastAsia="es-PE"/>
        </w:rPr>
      </w:pPr>
      <w:r w:rsidRPr="00F66A62">
        <w:rPr>
          <w:rStyle w:val="Textoennegrita"/>
          <w:rFonts w:ascii="Times New Roman" w:hAnsi="Times New Roman"/>
          <w:bCs w:val="0"/>
          <w:color w:val="auto"/>
          <w:sz w:val="24"/>
          <w:szCs w:val="24"/>
        </w:rPr>
        <w:t>Conflicto de intereses</w:t>
      </w:r>
    </w:p>
    <w:p w14:paraId="70BED01A" w14:textId="77777777" w:rsidR="0012291C" w:rsidRPr="00F66A62" w:rsidRDefault="0012291C" w:rsidP="00F66A62">
      <w:pPr>
        <w:pStyle w:val="NormalWeb"/>
        <w:spacing w:before="120" w:beforeAutospacing="0" w:after="120" w:afterAutospacing="0" w:line="360" w:lineRule="auto"/>
        <w:jc w:val="both"/>
      </w:pPr>
      <w:r w:rsidRPr="00F66A62">
        <w:t>El autor declara no tener ningún conflicto de intereses, real o potencial, que pueda influir en los resultados, el análisis o la interpretación del presente estudio.</w:t>
      </w:r>
    </w:p>
    <w:p w14:paraId="0543EEAD" w14:textId="77777777" w:rsidR="0012291C" w:rsidRPr="00F66A62" w:rsidRDefault="0012291C" w:rsidP="00F66A62">
      <w:pPr>
        <w:pStyle w:val="Ttulo3"/>
        <w:spacing w:before="120" w:after="120" w:line="360" w:lineRule="auto"/>
        <w:jc w:val="both"/>
        <w:rPr>
          <w:rFonts w:ascii="Times New Roman" w:hAnsi="Times New Roman"/>
          <w:color w:val="auto"/>
          <w:sz w:val="24"/>
          <w:szCs w:val="24"/>
        </w:rPr>
      </w:pPr>
      <w:r w:rsidRPr="00F66A62">
        <w:rPr>
          <w:rStyle w:val="Textoennegrita"/>
          <w:rFonts w:ascii="Times New Roman" w:hAnsi="Times New Roman"/>
          <w:bCs w:val="0"/>
          <w:color w:val="auto"/>
          <w:sz w:val="24"/>
          <w:szCs w:val="24"/>
        </w:rPr>
        <w:t>Responsabilidad ética y legal</w:t>
      </w:r>
    </w:p>
    <w:p w14:paraId="1A281F3E" w14:textId="77777777" w:rsidR="0012291C" w:rsidRPr="00F66A62" w:rsidRDefault="0012291C" w:rsidP="00F66A62">
      <w:pPr>
        <w:pStyle w:val="NormalWeb"/>
        <w:spacing w:before="120" w:beforeAutospacing="0" w:after="120" w:afterAutospacing="0" w:line="360" w:lineRule="auto"/>
        <w:jc w:val="both"/>
      </w:pPr>
      <w:r w:rsidRPr="00F66A62">
        <w:t>El autor declara que el estudio se desarrolló en cumplimiento de las normativas éticas y legales vigentes, así como de los principios de integridad científica. Asimismo, garantiza la originalidad del manuscrito y certifica que el trabajo no contiene ninguna forma de plagio académico ni vulnera derechos de autor.</w:t>
      </w:r>
    </w:p>
    <w:p w14:paraId="01719409" w14:textId="43F7FEB6" w:rsidR="0012291C" w:rsidRPr="00F66A62" w:rsidRDefault="0012291C" w:rsidP="00F66A62">
      <w:pPr>
        <w:pStyle w:val="Ttulo3"/>
        <w:spacing w:before="120" w:after="120" w:line="360" w:lineRule="auto"/>
        <w:jc w:val="both"/>
        <w:rPr>
          <w:rFonts w:ascii="Times New Roman" w:hAnsi="Times New Roman"/>
          <w:b/>
          <w:color w:val="auto"/>
          <w:sz w:val="24"/>
          <w:szCs w:val="24"/>
        </w:rPr>
      </w:pPr>
      <w:r w:rsidRPr="00F66A62">
        <w:rPr>
          <w:rStyle w:val="Textoennegrita"/>
          <w:rFonts w:ascii="Times New Roman" w:hAnsi="Times New Roman"/>
          <w:bCs w:val="0"/>
          <w:color w:val="auto"/>
          <w:sz w:val="24"/>
          <w:szCs w:val="24"/>
        </w:rPr>
        <w:t>Declaración sobre el uso de modelos de lenguaje (LLM)</w:t>
      </w:r>
    </w:p>
    <w:p w14:paraId="7D48CB59" w14:textId="39CEAADF" w:rsidR="0012291C" w:rsidRPr="00F66A62" w:rsidRDefault="0012291C" w:rsidP="00F66A62">
      <w:pPr>
        <w:pStyle w:val="NormalWeb"/>
        <w:spacing w:before="120" w:beforeAutospacing="0" w:after="120" w:afterAutospacing="0" w:line="360" w:lineRule="auto"/>
        <w:jc w:val="both"/>
      </w:pPr>
      <w:r w:rsidRPr="00F66A62">
        <w:t>El autor declara que no se utilizó ningún modelo de lenguaje de gran escala (LLM), incluidos sistemas de inteligencia artificial generativa, en la redacción ni en el análisis del presente trabajo, los cuales fueron desarrollados íntegramente por el autor conforme a estándares de rigor académico.</w:t>
      </w:r>
    </w:p>
    <w:p w14:paraId="6BD0B93F" w14:textId="77777777" w:rsidR="0012291C" w:rsidRPr="00F66A62" w:rsidRDefault="0012291C" w:rsidP="00F66A62">
      <w:pPr>
        <w:pStyle w:val="Ttulo3"/>
        <w:spacing w:before="120" w:after="120" w:line="360" w:lineRule="auto"/>
        <w:jc w:val="both"/>
        <w:rPr>
          <w:rFonts w:ascii="Times New Roman" w:hAnsi="Times New Roman"/>
          <w:b/>
          <w:color w:val="auto"/>
          <w:sz w:val="24"/>
          <w:szCs w:val="24"/>
        </w:rPr>
      </w:pPr>
      <w:r w:rsidRPr="00F66A62">
        <w:rPr>
          <w:rStyle w:val="Textoennegrita"/>
          <w:rFonts w:ascii="Times New Roman" w:hAnsi="Times New Roman"/>
          <w:bCs w:val="0"/>
          <w:color w:val="auto"/>
          <w:sz w:val="24"/>
          <w:szCs w:val="24"/>
        </w:rPr>
        <w:t>Financiamiento</w:t>
      </w:r>
    </w:p>
    <w:p w14:paraId="415FA4E4" w14:textId="77777777" w:rsidR="0012291C" w:rsidRPr="00F66A62" w:rsidRDefault="0012291C" w:rsidP="00F66A62">
      <w:pPr>
        <w:pStyle w:val="NormalWeb"/>
        <w:spacing w:before="120" w:beforeAutospacing="0" w:after="120" w:afterAutospacing="0" w:line="360" w:lineRule="auto"/>
        <w:jc w:val="both"/>
      </w:pPr>
      <w:r w:rsidRPr="00F66A62">
        <w:t>La investigación no recibió financiamiento externo y fue desarrollada sin apoyo económico de instituciones públicas o privadas.</w:t>
      </w:r>
    </w:p>
    <w:p w14:paraId="4152318D" w14:textId="77777777" w:rsidR="0012291C" w:rsidRPr="00F66A62" w:rsidRDefault="0012291C" w:rsidP="00F66A62">
      <w:pPr>
        <w:pStyle w:val="Ttulo3"/>
        <w:spacing w:before="120" w:after="120" w:line="360" w:lineRule="auto"/>
        <w:jc w:val="both"/>
        <w:rPr>
          <w:rFonts w:ascii="Times New Roman" w:hAnsi="Times New Roman"/>
          <w:color w:val="auto"/>
          <w:sz w:val="24"/>
          <w:szCs w:val="24"/>
        </w:rPr>
      </w:pPr>
      <w:r w:rsidRPr="00F66A62">
        <w:rPr>
          <w:rStyle w:val="Textoennegrita"/>
          <w:rFonts w:ascii="Times New Roman" w:hAnsi="Times New Roman"/>
          <w:bCs w:val="0"/>
          <w:color w:val="auto"/>
          <w:sz w:val="24"/>
          <w:szCs w:val="24"/>
        </w:rPr>
        <w:t>Correspondencia</w:t>
      </w:r>
    </w:p>
    <w:p w14:paraId="0943D8B3" w14:textId="1158CBC1" w:rsidR="0012291C" w:rsidRPr="00F66A62" w:rsidRDefault="00DF05B9" w:rsidP="00F66A62">
      <w:pPr>
        <w:pStyle w:val="NormalWeb"/>
        <w:spacing w:before="120" w:beforeAutospacing="0" w:after="120" w:afterAutospacing="0" w:line="360" w:lineRule="auto"/>
        <w:jc w:val="both"/>
      </w:pPr>
      <w:r w:rsidRPr="00F66A62">
        <w:rPr>
          <w:b/>
          <w:bCs/>
        </w:rPr>
        <w:t>José Antonio Villalobos López:</w:t>
      </w:r>
      <w:r w:rsidR="0012291C" w:rsidRPr="00F66A62">
        <w:t xml:space="preserve"> </w:t>
      </w:r>
      <w:hyperlink r:id="rId18" w:history="1">
        <w:r w:rsidRPr="00F66A62">
          <w:rPr>
            <w:rStyle w:val="Hipervnculo"/>
            <w:color w:val="auto"/>
            <w:u w:val="none"/>
          </w:rPr>
          <w:t>jvillalobosl7500@egresado.ipn.mx</w:t>
        </w:r>
      </w:hyperlink>
    </w:p>
    <w:p w14:paraId="5024C1F0" w14:textId="0F2CA356" w:rsidR="00407CEF" w:rsidRDefault="00407CEF" w:rsidP="00F66A62">
      <w:pPr>
        <w:pStyle w:val="NormalWeb"/>
        <w:spacing w:before="120" w:beforeAutospacing="0" w:after="120" w:afterAutospacing="0" w:line="360" w:lineRule="auto"/>
        <w:jc w:val="both"/>
      </w:pPr>
    </w:p>
    <w:p w14:paraId="3E82CA7F" w14:textId="3A9F4314" w:rsidR="004D0FC8" w:rsidRDefault="004D0FC8" w:rsidP="00F66A62">
      <w:pPr>
        <w:pStyle w:val="NormalWeb"/>
        <w:spacing w:before="120" w:beforeAutospacing="0" w:after="120" w:afterAutospacing="0" w:line="360" w:lineRule="auto"/>
        <w:jc w:val="both"/>
      </w:pPr>
    </w:p>
    <w:p w14:paraId="0ADD210C" w14:textId="60498779" w:rsidR="004D0FC8" w:rsidRDefault="004D0FC8" w:rsidP="00F66A62">
      <w:pPr>
        <w:pStyle w:val="NormalWeb"/>
        <w:spacing w:before="120" w:beforeAutospacing="0" w:after="120" w:afterAutospacing="0" w:line="360" w:lineRule="auto"/>
        <w:jc w:val="both"/>
      </w:pPr>
    </w:p>
    <w:p w14:paraId="7FDF1D0C" w14:textId="2D6A4B5F" w:rsidR="004D0FC8" w:rsidRDefault="004D0FC8" w:rsidP="00F66A62">
      <w:pPr>
        <w:pStyle w:val="NormalWeb"/>
        <w:spacing w:before="120" w:beforeAutospacing="0" w:after="120" w:afterAutospacing="0" w:line="360" w:lineRule="auto"/>
        <w:jc w:val="both"/>
      </w:pPr>
    </w:p>
    <w:p w14:paraId="61DA58A5" w14:textId="77777777" w:rsidR="004D0FC8" w:rsidRPr="00F66A62" w:rsidRDefault="004D0FC8" w:rsidP="00F66A62">
      <w:pPr>
        <w:pStyle w:val="NormalWeb"/>
        <w:spacing w:before="120" w:beforeAutospacing="0" w:after="120" w:afterAutospacing="0" w:line="360" w:lineRule="auto"/>
        <w:jc w:val="both"/>
      </w:pPr>
    </w:p>
    <w:p w14:paraId="61F4BFFF" w14:textId="395B669C" w:rsidR="00F6607B" w:rsidRPr="00F66A62" w:rsidRDefault="00F6607B" w:rsidP="00F66A62">
      <w:pPr>
        <w:tabs>
          <w:tab w:val="left" w:pos="5218"/>
        </w:tabs>
        <w:spacing w:before="120" w:after="120" w:line="360" w:lineRule="auto"/>
        <w:jc w:val="center"/>
        <w:rPr>
          <w:rFonts w:ascii="Times New Roman" w:hAnsi="Times New Roman"/>
          <w:b/>
          <w:bCs/>
          <w:sz w:val="24"/>
          <w:szCs w:val="24"/>
        </w:rPr>
      </w:pPr>
      <w:r w:rsidRPr="00F66A62">
        <w:rPr>
          <w:rFonts w:ascii="Times New Roman" w:hAnsi="Times New Roman"/>
          <w:b/>
          <w:bCs/>
          <w:sz w:val="24"/>
          <w:szCs w:val="24"/>
        </w:rPr>
        <w:lastRenderedPageBreak/>
        <w:t>Referencias</w:t>
      </w:r>
    </w:p>
    <w:p w14:paraId="0BB8D130" w14:textId="6C4B8A5C" w:rsidR="00DF05B9" w:rsidRPr="00F66A62" w:rsidRDefault="00DF05B9" w:rsidP="00F66A62">
      <w:pPr>
        <w:pStyle w:val="NormalWeb"/>
        <w:spacing w:before="120" w:beforeAutospacing="0" w:after="120" w:afterAutospacing="0" w:line="360" w:lineRule="auto"/>
        <w:ind w:left="709" w:hanging="709"/>
        <w:jc w:val="both"/>
      </w:pPr>
      <w:r w:rsidRPr="00F66A62">
        <w:t xml:space="preserve">Alto Nivel. (2023, 31 de agosto). </w:t>
      </w:r>
      <w:r w:rsidRPr="00F66A62">
        <w:rPr>
          <w:rStyle w:val="nfasis"/>
        </w:rPr>
        <w:t>¿Qué es la cédula profesional y para qué sirve?</w:t>
      </w:r>
      <w:r w:rsidRPr="00F66A62">
        <w:t xml:space="preserve"> Recursos Humanos. </w:t>
      </w:r>
      <w:hyperlink r:id="rId19" w:history="1">
        <w:r w:rsidRPr="00F66A62">
          <w:rPr>
            <w:rStyle w:val="Hipervnculo"/>
            <w:color w:val="auto"/>
            <w:u w:val="none"/>
          </w:rPr>
          <w:t>https://www.altonivel.com.mx/que-es-la-cedula-profesional-y-para-que-sirve/</w:t>
        </w:r>
      </w:hyperlink>
    </w:p>
    <w:p w14:paraId="4C3DE099" w14:textId="60E848F1" w:rsidR="00DF05B9" w:rsidRPr="00F66A62" w:rsidRDefault="00DF05B9" w:rsidP="00F66A62">
      <w:pPr>
        <w:pStyle w:val="NormalWeb"/>
        <w:spacing w:before="120" w:beforeAutospacing="0" w:after="120" w:afterAutospacing="0" w:line="360" w:lineRule="auto"/>
        <w:ind w:left="709" w:hanging="709"/>
        <w:jc w:val="both"/>
      </w:pPr>
      <w:r w:rsidRPr="00F66A62">
        <w:t xml:space="preserve">Álvarez, G. (2023). La gobernanza federalista de coordinación y la perspectiva expansiva de la educación superior en México. </w:t>
      </w:r>
      <w:r w:rsidRPr="00F66A62">
        <w:rPr>
          <w:rStyle w:val="nfasis"/>
        </w:rPr>
        <w:t>Universidades, 74</w:t>
      </w:r>
      <w:r w:rsidRPr="00F66A62">
        <w:t>(97), 30</w:t>
      </w:r>
      <w:r w:rsidR="00ED1DD4" w:rsidRPr="00F66A62">
        <w:t>-</w:t>
      </w:r>
      <w:r w:rsidRPr="00F66A62">
        <w:t>45.</w:t>
      </w:r>
      <w:r w:rsidRPr="00F66A62">
        <w:br/>
      </w:r>
      <w:hyperlink r:id="rId20" w:tgtFrame="_new" w:history="1">
        <w:r w:rsidRPr="00F66A62">
          <w:rPr>
            <w:rStyle w:val="Hipervnculo"/>
            <w:color w:val="auto"/>
            <w:u w:val="none"/>
          </w:rPr>
          <w:t>https://doi.org/10.36888/udual.universidades.2023.97.700</w:t>
        </w:r>
      </w:hyperlink>
    </w:p>
    <w:p w14:paraId="7CDE3654" w14:textId="63A1C4F3" w:rsidR="00DF05B9" w:rsidRPr="00F66A62" w:rsidRDefault="00DF05B9" w:rsidP="00F66A62">
      <w:pPr>
        <w:pStyle w:val="NormalWeb"/>
        <w:spacing w:before="120" w:beforeAutospacing="0" w:after="120" w:afterAutospacing="0" w:line="360" w:lineRule="auto"/>
        <w:ind w:left="709" w:hanging="709"/>
        <w:jc w:val="both"/>
      </w:pPr>
      <w:r w:rsidRPr="00F66A62">
        <w:t xml:space="preserve">Asociación Nacional de Universidades e Instituciones de Educación Superior. (2023). </w:t>
      </w:r>
      <w:r w:rsidRPr="00F66A62">
        <w:rPr>
          <w:rStyle w:val="nfasis"/>
        </w:rPr>
        <w:t>Anuarios estadísticos de educación superior: Ciclo escolar 2022</w:t>
      </w:r>
      <w:r w:rsidR="00ED1DD4" w:rsidRPr="00F66A62">
        <w:rPr>
          <w:rStyle w:val="nfasis"/>
        </w:rPr>
        <w:t>-</w:t>
      </w:r>
      <w:r w:rsidRPr="00F66A62">
        <w:rPr>
          <w:rStyle w:val="nfasis"/>
        </w:rPr>
        <w:t>2023</w:t>
      </w:r>
      <w:r w:rsidRPr="00F66A62">
        <w:t>.</w:t>
      </w:r>
      <w:r w:rsidR="00307AA5">
        <w:t xml:space="preserve"> </w:t>
      </w:r>
      <w:hyperlink r:id="rId21" w:tgtFrame="_new" w:history="1">
        <w:r w:rsidRPr="00F66A62">
          <w:rPr>
            <w:rStyle w:val="Hipervnculo"/>
            <w:color w:val="auto"/>
            <w:u w:val="none"/>
          </w:rPr>
          <w:t>http://www.anuies.mx/informacionyservicios/informacionestadisticadeeducacion-superior/anuario-estadistico-de-educacion-superior</w:t>
        </w:r>
      </w:hyperlink>
    </w:p>
    <w:p w14:paraId="4C5FA610" w14:textId="5F13A797" w:rsidR="00DF05B9" w:rsidRPr="00F66A62" w:rsidRDefault="00DF05B9" w:rsidP="00F66A62">
      <w:pPr>
        <w:pStyle w:val="NormalWeb"/>
        <w:spacing w:before="120" w:beforeAutospacing="0" w:after="120" w:afterAutospacing="0" w:line="360" w:lineRule="auto"/>
        <w:ind w:left="709" w:hanging="709"/>
        <w:jc w:val="both"/>
      </w:pPr>
      <w:r w:rsidRPr="00F66A62">
        <w:t xml:space="preserve">Constitución Política de los Estados Unidos Mexicanos. (2024, 24 de marzo). </w:t>
      </w:r>
      <w:r w:rsidRPr="00F66A62">
        <w:rPr>
          <w:rStyle w:val="nfasis"/>
        </w:rPr>
        <w:t>Diario Oficial de la Federación</w:t>
      </w:r>
      <w:r w:rsidRPr="00F66A62">
        <w:t>. Cámara de Diputados del H. Congreso de la Unión.</w:t>
      </w:r>
      <w:r w:rsidRPr="00F66A62">
        <w:br/>
      </w:r>
      <w:hyperlink r:id="rId22" w:tgtFrame="_new" w:history="1">
        <w:r w:rsidRPr="00F66A62">
          <w:rPr>
            <w:rStyle w:val="Hipervnculo"/>
            <w:color w:val="auto"/>
            <w:u w:val="none"/>
          </w:rPr>
          <w:t>https://www.diputados.gob.mx/LeyesBiblio/pdf/CPEUM.pdf</w:t>
        </w:r>
      </w:hyperlink>
    </w:p>
    <w:p w14:paraId="0C728078" w14:textId="28E8D5C6" w:rsidR="00DF05B9" w:rsidRPr="00F66A62" w:rsidRDefault="00DF05B9" w:rsidP="00F66A62">
      <w:pPr>
        <w:pStyle w:val="NormalWeb"/>
        <w:spacing w:before="120" w:beforeAutospacing="0" w:after="120" w:afterAutospacing="0" w:line="360" w:lineRule="auto"/>
        <w:ind w:left="709" w:hanging="709"/>
        <w:jc w:val="both"/>
      </w:pPr>
      <w:r w:rsidRPr="00F66A62">
        <w:t xml:space="preserve">Díaz, A. (2013). Marco legal de las profesiones en México. </w:t>
      </w:r>
      <w:r w:rsidRPr="00F66A62">
        <w:rPr>
          <w:rStyle w:val="nfasis"/>
        </w:rPr>
        <w:t>Alegatos</w:t>
      </w:r>
      <w:r w:rsidRPr="00F66A62">
        <w:t>, (85), 1009</w:t>
      </w:r>
      <w:r w:rsidR="00ED1DD4" w:rsidRPr="00F66A62">
        <w:t>-</w:t>
      </w:r>
      <w:r w:rsidRPr="00F66A62">
        <w:t>1026.</w:t>
      </w:r>
      <w:r w:rsidRPr="00F66A62">
        <w:br/>
      </w:r>
      <w:hyperlink r:id="rId23" w:tgtFrame="_new" w:history="1">
        <w:r w:rsidRPr="00F66A62">
          <w:rPr>
            <w:rStyle w:val="Hipervnculo"/>
            <w:color w:val="auto"/>
            <w:u w:val="none"/>
          </w:rPr>
          <w:t>https://biblat.unam.mx/hevila/Alegatos/2013/no85/13.pdf</w:t>
        </w:r>
      </w:hyperlink>
    </w:p>
    <w:p w14:paraId="7D1B1F71" w14:textId="51F104B5" w:rsidR="00322A28" w:rsidRDefault="00322A28" w:rsidP="00F66A62">
      <w:pPr>
        <w:pStyle w:val="NormalWeb"/>
        <w:spacing w:before="120" w:beforeAutospacing="0" w:after="120" w:afterAutospacing="0" w:line="360" w:lineRule="auto"/>
        <w:ind w:left="709" w:hanging="709"/>
        <w:jc w:val="both"/>
      </w:pPr>
      <w:r>
        <w:t xml:space="preserve">Dirección General de Acreditación, Incorporación y Revalidación. (2007). </w:t>
      </w:r>
      <w:r>
        <w:rPr>
          <w:rStyle w:val="nfasis"/>
        </w:rPr>
        <w:t>Proceso de incorporación</w:t>
      </w:r>
      <w:r>
        <w:t>. Secretaría de Educación Pública.</w:t>
      </w:r>
      <w:r w:rsidR="00362592" w:rsidRPr="00362592">
        <w:t xml:space="preserve"> https://evaluacion.septlaxcala.gob.mx/docs/incorporacion.pdf</w:t>
      </w:r>
      <w:r w:rsidR="0042121B" w:rsidRPr="0042121B">
        <w:t xml:space="preserve"> </w:t>
      </w:r>
      <w:r w:rsidR="0042121B">
        <w:t>DGAIR</w:t>
      </w:r>
    </w:p>
    <w:p w14:paraId="1409B1B1" w14:textId="33E897FA" w:rsidR="00DF05B9" w:rsidRPr="00F66A62" w:rsidRDefault="00DF05B9" w:rsidP="00F66A62">
      <w:pPr>
        <w:pStyle w:val="NormalWeb"/>
        <w:spacing w:before="120" w:beforeAutospacing="0" w:after="120" w:afterAutospacing="0" w:line="360" w:lineRule="auto"/>
        <w:ind w:left="709" w:hanging="709"/>
        <w:jc w:val="both"/>
      </w:pPr>
      <w:r w:rsidRPr="00F66A62">
        <w:t xml:space="preserve">Dirección General de Acreditación, Incorporación y Revalidación. (2024). </w:t>
      </w:r>
      <w:r w:rsidRPr="00F66A62">
        <w:rPr>
          <w:rStyle w:val="nfasis"/>
        </w:rPr>
        <w:t>Estadística e indicadores de los RVOE vigentes otorgados por la autoridad educativa federal</w:t>
      </w:r>
      <w:r w:rsidRPr="00F66A62">
        <w:t>. Secretaría de Educación Pública. https://siRVOE.sep.gob.mx/siRVOE/mvc/consultas/verEstadisticasEindicadores</w:t>
      </w:r>
    </w:p>
    <w:p w14:paraId="6BA3BD13" w14:textId="34C17908" w:rsidR="00DF05B9" w:rsidRPr="00F66A62" w:rsidRDefault="00DF05B9" w:rsidP="00F66A62">
      <w:pPr>
        <w:pStyle w:val="NormalWeb"/>
        <w:spacing w:before="120" w:beforeAutospacing="0" w:after="120" w:afterAutospacing="0" w:line="360" w:lineRule="auto"/>
        <w:ind w:left="709" w:hanging="709"/>
        <w:jc w:val="both"/>
      </w:pPr>
      <w:r w:rsidRPr="00F66A62">
        <w:t xml:space="preserve">Gobierno del Estado de Baja California. (2024, 1 de mayo). </w:t>
      </w:r>
      <w:r w:rsidRPr="00F66A62">
        <w:rPr>
          <w:rStyle w:val="nfasis"/>
        </w:rPr>
        <w:t>Registro profesional estatal</w:t>
      </w:r>
      <w:r w:rsidRPr="00F66A62">
        <w:t xml:space="preserve">. Secretaría de Educación. </w:t>
      </w:r>
      <w:hyperlink r:id="rId24" w:history="1">
        <w:r w:rsidRPr="00F66A62">
          <w:rPr>
            <w:rStyle w:val="Hipervnculo"/>
            <w:color w:val="auto"/>
            <w:u w:val="none"/>
          </w:rPr>
          <w:t>https://retys.bajacalifornia.gob.mx/Portal/TyS/14-95?perfilId=7</w:t>
        </w:r>
      </w:hyperlink>
    </w:p>
    <w:p w14:paraId="13278ADA" w14:textId="05AB2CA7" w:rsidR="00DF05B9" w:rsidRPr="00F66A62" w:rsidRDefault="00DF05B9" w:rsidP="00F66A62">
      <w:pPr>
        <w:pStyle w:val="NormalWeb"/>
        <w:spacing w:before="120" w:beforeAutospacing="0" w:after="120" w:afterAutospacing="0" w:line="360" w:lineRule="auto"/>
        <w:ind w:left="709" w:hanging="709"/>
        <w:jc w:val="both"/>
      </w:pPr>
      <w:r w:rsidRPr="00F66A62">
        <w:t xml:space="preserve">Gobierno del Estado de Coahuila. (2022, 9 de noviembre). </w:t>
      </w:r>
      <w:r w:rsidRPr="00F66A62">
        <w:rPr>
          <w:rStyle w:val="nfasis"/>
        </w:rPr>
        <w:t>Dirección estatal de profesiones</w:t>
      </w:r>
      <w:r w:rsidRPr="00F66A62">
        <w:t>.</w:t>
      </w:r>
      <w:r w:rsidR="00761A00">
        <w:t xml:space="preserve"> </w:t>
      </w:r>
      <w:r w:rsidRPr="00F66A62">
        <w:t>Secretaría de Educación.</w:t>
      </w:r>
      <w:r w:rsidR="0006614D">
        <w:t xml:space="preserve"> </w:t>
      </w:r>
      <w:r w:rsidR="0006614D" w:rsidRPr="00AF7061">
        <w:t>https://www.seducoahuila.gob.mx/profesiones/</w:t>
      </w:r>
    </w:p>
    <w:p w14:paraId="01532A9E" w14:textId="77777777" w:rsidR="004A48CD" w:rsidRDefault="004A48CD" w:rsidP="00F66A62">
      <w:pPr>
        <w:pStyle w:val="NormalWeb"/>
        <w:spacing w:before="120" w:beforeAutospacing="0" w:after="120" w:afterAutospacing="0" w:line="360" w:lineRule="auto"/>
        <w:ind w:left="709" w:hanging="709"/>
        <w:jc w:val="both"/>
      </w:pPr>
    </w:p>
    <w:p w14:paraId="737CFA30" w14:textId="2325EF1F" w:rsidR="00DF05B9" w:rsidRPr="00F66A62" w:rsidRDefault="00DF05B9" w:rsidP="00F66A62">
      <w:pPr>
        <w:pStyle w:val="NormalWeb"/>
        <w:spacing w:before="120" w:beforeAutospacing="0" w:after="120" w:afterAutospacing="0" w:line="360" w:lineRule="auto"/>
        <w:ind w:left="709" w:hanging="709"/>
        <w:jc w:val="both"/>
      </w:pPr>
      <w:r w:rsidRPr="00F66A62">
        <w:lastRenderedPageBreak/>
        <w:t xml:space="preserve">Gobierno del Estado de Guanajuato. (2024, 9 de enero). </w:t>
      </w:r>
      <w:r w:rsidRPr="00F66A62">
        <w:rPr>
          <w:rStyle w:val="nfasis"/>
        </w:rPr>
        <w:t>Requisitos para obtener cédula profesional en el estado de Guanajuato</w:t>
      </w:r>
      <w:r w:rsidRPr="00F66A62">
        <w:t>. Secretaría de Educación de Guanajuato.</w:t>
      </w:r>
      <w:r w:rsidRPr="00F66A62">
        <w:br/>
      </w:r>
      <w:hyperlink r:id="rId25" w:history="1">
        <w:r w:rsidRPr="00F66A62">
          <w:rPr>
            <w:rStyle w:val="Hipervnculo"/>
            <w:color w:val="auto"/>
            <w:u w:val="none"/>
          </w:rPr>
          <w:t>https://www.seg.guanajuato.gob.mx/Profesionistas/Documents/Cedula/CEDULA_PROFESIONAL_ESTATAL.pdf</w:t>
        </w:r>
      </w:hyperlink>
    </w:p>
    <w:p w14:paraId="22BE9C16" w14:textId="70B7D324" w:rsidR="00DF05B9" w:rsidRPr="00F66A62" w:rsidRDefault="00DF05B9" w:rsidP="00F66A62">
      <w:pPr>
        <w:pStyle w:val="NormalWeb"/>
        <w:spacing w:before="120" w:beforeAutospacing="0" w:after="120" w:afterAutospacing="0" w:line="360" w:lineRule="auto"/>
        <w:ind w:left="709" w:hanging="709"/>
        <w:jc w:val="both"/>
      </w:pPr>
      <w:r w:rsidRPr="00F66A62">
        <w:t xml:space="preserve">Gobierno del Estado de Jalisco. (2024, 12 de febrero). </w:t>
      </w:r>
      <w:r w:rsidRPr="00F66A62">
        <w:rPr>
          <w:rStyle w:val="nfasis"/>
        </w:rPr>
        <w:t>Cédula profesional estatal: Duplicado</w:t>
      </w:r>
      <w:r w:rsidRPr="00F66A62">
        <w:t xml:space="preserve">. Dirección de Profesiones. </w:t>
      </w:r>
      <w:hyperlink r:id="rId26" w:tgtFrame="_new" w:history="1">
        <w:r w:rsidRPr="00F66A62">
          <w:rPr>
            <w:rStyle w:val="Hipervnculo"/>
            <w:color w:val="auto"/>
            <w:u w:val="none"/>
          </w:rPr>
          <w:t>https://tramites.jalisco.gob.mx/catalogo.jalisco/ciudadania/servicios/tramite/JAL-DP-0009</w:t>
        </w:r>
      </w:hyperlink>
    </w:p>
    <w:p w14:paraId="7D2D8830" w14:textId="77777777" w:rsidR="00DF05B9" w:rsidRPr="00F66A62" w:rsidRDefault="00DF05B9" w:rsidP="00F66A62">
      <w:pPr>
        <w:pStyle w:val="NormalWeb"/>
        <w:spacing w:before="120" w:beforeAutospacing="0" w:after="120" w:afterAutospacing="0" w:line="360" w:lineRule="auto"/>
        <w:ind w:left="709" w:hanging="709"/>
        <w:jc w:val="both"/>
      </w:pPr>
      <w:r w:rsidRPr="00F66A62">
        <w:t xml:space="preserve">Gobierno del Estado de México. (2020, 20 de enero). </w:t>
      </w:r>
      <w:r w:rsidRPr="00F66A62">
        <w:rPr>
          <w:rStyle w:val="nfasis"/>
        </w:rPr>
        <w:t>Cédula profesional electrónica</w:t>
      </w:r>
      <w:r w:rsidRPr="00F66A62">
        <w:t>.</w:t>
      </w:r>
      <w:r w:rsidRPr="00F66A62">
        <w:br/>
      </w:r>
      <w:hyperlink r:id="rId27" w:tgtFrame="_new" w:history="1">
        <w:r w:rsidRPr="00F66A62">
          <w:rPr>
            <w:rStyle w:val="Hipervnculo"/>
            <w:color w:val="auto"/>
            <w:u w:val="none"/>
          </w:rPr>
          <w:t>https://profesiones.edomex.gob.mx/cedula</w:t>
        </w:r>
      </w:hyperlink>
    </w:p>
    <w:p w14:paraId="32BBF32B" w14:textId="2E36BC72" w:rsidR="00DF05B9" w:rsidRPr="00F66A62" w:rsidRDefault="00DF05B9" w:rsidP="00F66A62">
      <w:pPr>
        <w:pStyle w:val="NormalWeb"/>
        <w:spacing w:before="120" w:beforeAutospacing="0" w:after="120" w:afterAutospacing="0" w:line="360" w:lineRule="auto"/>
        <w:ind w:left="709" w:hanging="709"/>
        <w:jc w:val="both"/>
      </w:pPr>
      <w:r w:rsidRPr="00F66A62">
        <w:t xml:space="preserve">Gobierno del Estado de Michoacán. (2020). </w:t>
      </w:r>
      <w:r w:rsidRPr="00F66A62">
        <w:rPr>
          <w:rStyle w:val="nfasis"/>
        </w:rPr>
        <w:t>Catálogo estatal de trámites y servicios</w:t>
      </w:r>
      <w:r w:rsidRPr="00F66A62">
        <w:t>.</w:t>
      </w:r>
      <w:r w:rsidRPr="00F66A62">
        <w:br/>
      </w:r>
      <w:hyperlink r:id="rId28" w:tgtFrame="_new" w:history="1">
        <w:r w:rsidRPr="00F66A62">
          <w:rPr>
            <w:rStyle w:val="Hipervnculo"/>
            <w:color w:val="auto"/>
            <w:u w:val="none"/>
          </w:rPr>
          <w:t>https://tramites.michoacan.gob.mx/</w:t>
        </w:r>
      </w:hyperlink>
    </w:p>
    <w:p w14:paraId="21CF7D4D" w14:textId="18419FAF" w:rsidR="00DF05B9" w:rsidRPr="00F66A62" w:rsidRDefault="00DF05B9" w:rsidP="00F66A62">
      <w:pPr>
        <w:pStyle w:val="NormalWeb"/>
        <w:spacing w:before="120" w:beforeAutospacing="0" w:after="120" w:afterAutospacing="0" w:line="360" w:lineRule="auto"/>
        <w:ind w:left="709" w:hanging="709"/>
        <w:jc w:val="both"/>
      </w:pPr>
      <w:r w:rsidRPr="00F66A62">
        <w:t xml:space="preserve">Gobierno del Estado de Michoacán. (2022, 22 de enero). </w:t>
      </w:r>
      <w:r w:rsidRPr="00F66A62">
        <w:rPr>
          <w:rStyle w:val="nfasis"/>
        </w:rPr>
        <w:t>SEE ratifica la validez de la cédula profesional con efectos de patente</w:t>
      </w:r>
      <w:r w:rsidRPr="00F66A62">
        <w:t>. Secretaría de Educación.</w:t>
      </w:r>
      <w:r w:rsidRPr="00F66A62">
        <w:br/>
      </w:r>
      <w:hyperlink r:id="rId29" w:tgtFrame="_new" w:history="1">
        <w:r w:rsidRPr="00F66A62">
          <w:rPr>
            <w:rStyle w:val="Hipervnculo"/>
            <w:color w:val="auto"/>
            <w:u w:val="none"/>
          </w:rPr>
          <w:t>https://see.michoacan.gob.mx/michoacan-expidecedulasprofesionalesconvalidez/</w:t>
        </w:r>
      </w:hyperlink>
    </w:p>
    <w:p w14:paraId="4EEB3B02" w14:textId="1DA9F66E" w:rsidR="00DF05B9" w:rsidRDefault="00DF05B9" w:rsidP="00F66A62">
      <w:pPr>
        <w:pStyle w:val="NormalWeb"/>
        <w:spacing w:before="120" w:beforeAutospacing="0" w:after="120" w:afterAutospacing="0" w:line="360" w:lineRule="auto"/>
        <w:ind w:left="709" w:hanging="709"/>
        <w:jc w:val="both"/>
        <w:rPr>
          <w:rStyle w:val="Hipervnculo"/>
          <w:color w:val="auto"/>
          <w:u w:val="none"/>
        </w:rPr>
      </w:pPr>
      <w:r w:rsidRPr="00F66A62">
        <w:t xml:space="preserve">Gobierno del Estado de Nayarit. (2020, 29 de febrero). </w:t>
      </w:r>
      <w:r w:rsidRPr="00F66A62">
        <w:rPr>
          <w:rStyle w:val="nfasis"/>
        </w:rPr>
        <w:t>Cédula estatal nivel licenciatura</w:t>
      </w:r>
      <w:r w:rsidRPr="00F66A62">
        <w:t xml:space="preserve">. Secretaría General de Gobierno. </w:t>
      </w:r>
      <w:hyperlink r:id="rId30" w:history="1">
        <w:r w:rsidRPr="00F66A62">
          <w:rPr>
            <w:rStyle w:val="Hipervnculo"/>
            <w:color w:val="auto"/>
            <w:u w:val="none"/>
          </w:rPr>
          <w:t>https://tramites.nayarit.gob.mx/reportes/index/39</w:t>
        </w:r>
      </w:hyperlink>
    </w:p>
    <w:p w14:paraId="2B917859" w14:textId="74FD8DC5" w:rsidR="00AB7B42" w:rsidRDefault="00AB7B42" w:rsidP="00F66A62">
      <w:pPr>
        <w:pStyle w:val="NormalWeb"/>
        <w:spacing w:before="120" w:beforeAutospacing="0" w:after="120" w:afterAutospacing="0" w:line="360" w:lineRule="auto"/>
        <w:ind w:left="709" w:hanging="709"/>
        <w:jc w:val="both"/>
      </w:pPr>
      <w:r>
        <w:t xml:space="preserve">Gobierno del Estado de Querétaro. (2024, 15 de marzo). </w:t>
      </w:r>
      <w:r>
        <w:rPr>
          <w:rStyle w:val="nfasis"/>
        </w:rPr>
        <w:t>Registro estatal de profesiones y expedición de cédulas profesionales</w:t>
      </w:r>
      <w:r>
        <w:t xml:space="preserve">. Secretaría de Educación del Estado de Querétaro. </w:t>
      </w:r>
      <w:r w:rsidRPr="00AB7B42">
        <w:t>https://portal.queretaro.gob.mx/</w:t>
      </w:r>
    </w:p>
    <w:p w14:paraId="480E2735" w14:textId="081A223B" w:rsidR="00AB7B42" w:rsidRDefault="00AB7B42" w:rsidP="00F66A62">
      <w:pPr>
        <w:pStyle w:val="NormalWeb"/>
        <w:spacing w:before="120" w:beforeAutospacing="0" w:after="120" w:afterAutospacing="0" w:line="360" w:lineRule="auto"/>
        <w:ind w:left="709" w:hanging="709"/>
        <w:jc w:val="both"/>
      </w:pPr>
      <w:r>
        <w:t xml:space="preserve">Gobierno del Estado de Sonora. (2024, 10 de abril). </w:t>
      </w:r>
      <w:r>
        <w:rPr>
          <w:rStyle w:val="nfasis"/>
        </w:rPr>
        <w:t>Dirección General de Profesiones: registro y expedición de cédulas profesionales estatales</w:t>
      </w:r>
      <w:r>
        <w:t xml:space="preserve">. Secretaría de Educación y Cultura del Estado de Sonora. </w:t>
      </w:r>
      <w:r w:rsidRPr="00AB7B42">
        <w:t>https://www.sonora.gob.mx/</w:t>
      </w:r>
    </w:p>
    <w:p w14:paraId="1C5FAC9C" w14:textId="6573EE7F" w:rsidR="00FD38DE" w:rsidRPr="00F66A62" w:rsidRDefault="00FD38DE" w:rsidP="00F66A62">
      <w:pPr>
        <w:pStyle w:val="NormalWeb"/>
        <w:spacing w:before="120" w:beforeAutospacing="0" w:after="120" w:afterAutospacing="0" w:line="360" w:lineRule="auto"/>
        <w:ind w:left="709" w:hanging="709"/>
        <w:jc w:val="both"/>
      </w:pPr>
      <w:r>
        <w:t xml:space="preserve">Hernández-Sampieri, R., Fernández-Collado, C., &amp; Baptista-Lucio, P. (2022). </w:t>
      </w:r>
      <w:r>
        <w:rPr>
          <w:rStyle w:val="nfasis"/>
        </w:rPr>
        <w:t>Metodología de la investigación</w:t>
      </w:r>
      <w:r>
        <w:t xml:space="preserve"> (8.ª ed.). McGraw-Hill </w:t>
      </w:r>
      <w:proofErr w:type="spellStart"/>
      <w:r>
        <w:t>Education</w:t>
      </w:r>
      <w:proofErr w:type="spellEnd"/>
      <w:r>
        <w:t>.</w:t>
      </w:r>
    </w:p>
    <w:p w14:paraId="1ECF9078" w14:textId="77777777" w:rsidR="00DF05B9" w:rsidRPr="00F66A62" w:rsidRDefault="00DF05B9" w:rsidP="00F66A62">
      <w:pPr>
        <w:pStyle w:val="NormalWeb"/>
        <w:spacing w:before="120" w:beforeAutospacing="0" w:after="120" w:afterAutospacing="0" w:line="360" w:lineRule="auto"/>
        <w:ind w:left="709" w:hanging="709"/>
        <w:jc w:val="both"/>
      </w:pPr>
      <w:r w:rsidRPr="00F66A62">
        <w:t xml:space="preserve">Ley General de Educación. (2024, 1 de abril). </w:t>
      </w:r>
      <w:r w:rsidRPr="00F66A62">
        <w:rPr>
          <w:rStyle w:val="nfasis"/>
        </w:rPr>
        <w:t>Diario Oficial de la Federación</w:t>
      </w:r>
      <w:r w:rsidRPr="00F66A62">
        <w:t>. Cámara de Diputados del H. Congreso de la Unión.</w:t>
      </w:r>
      <w:r w:rsidRPr="00F66A62">
        <w:br/>
      </w:r>
      <w:hyperlink r:id="rId31" w:tgtFrame="_new" w:history="1">
        <w:r w:rsidRPr="00F66A62">
          <w:rPr>
            <w:rStyle w:val="Hipervnculo"/>
            <w:color w:val="auto"/>
            <w:u w:val="none"/>
          </w:rPr>
          <w:t>https://www.diputados.gob.mx/LeyesBiblio/pdf/LGE.pdf</w:t>
        </w:r>
      </w:hyperlink>
    </w:p>
    <w:p w14:paraId="36639B05" w14:textId="15D03C1B" w:rsidR="00DF05B9" w:rsidRPr="00F66A62" w:rsidRDefault="00DF05B9" w:rsidP="00F66A62">
      <w:pPr>
        <w:pStyle w:val="NormalWeb"/>
        <w:spacing w:before="120" w:beforeAutospacing="0" w:after="120" w:afterAutospacing="0" w:line="360" w:lineRule="auto"/>
        <w:ind w:left="709" w:hanging="709"/>
        <w:jc w:val="both"/>
      </w:pPr>
      <w:r w:rsidRPr="00F66A62">
        <w:t xml:space="preserve">Ley General de Educación Superior. (2021, 20 de abril). </w:t>
      </w:r>
      <w:r w:rsidRPr="00F66A62">
        <w:rPr>
          <w:rStyle w:val="nfasis"/>
        </w:rPr>
        <w:t>Diario Oficial de la Federación</w:t>
      </w:r>
      <w:r w:rsidRPr="00F66A62">
        <w:t>. Cámara de Diputados del H. Congreso de la Unión.</w:t>
      </w:r>
      <w:r w:rsidRPr="00F66A62">
        <w:br/>
      </w:r>
      <w:hyperlink r:id="rId32" w:history="1">
        <w:r w:rsidR="00257EA4" w:rsidRPr="00F66A62">
          <w:rPr>
            <w:rStyle w:val="Hipervnculo"/>
            <w:color w:val="auto"/>
            <w:u w:val="none"/>
          </w:rPr>
          <w:t>https://www.diputados.gob.mx/LeyesBiblio/pdf/LGES_200421.pdf</w:t>
        </w:r>
      </w:hyperlink>
    </w:p>
    <w:p w14:paraId="381550C3" w14:textId="77777777" w:rsidR="00DF05B9" w:rsidRPr="00F66A62" w:rsidRDefault="00DF05B9" w:rsidP="00F66A62">
      <w:pPr>
        <w:pStyle w:val="NormalWeb"/>
        <w:spacing w:before="120" w:beforeAutospacing="0" w:after="120" w:afterAutospacing="0" w:line="360" w:lineRule="auto"/>
        <w:ind w:left="709" w:hanging="709"/>
        <w:jc w:val="both"/>
      </w:pPr>
      <w:r w:rsidRPr="00F66A62">
        <w:lastRenderedPageBreak/>
        <w:t xml:space="preserve">Ley Reglamentaria del artículo 5º constitucional, relativo al ejercicio de las profesiones en la Ciudad de México. (2018, 19 de enero). </w:t>
      </w:r>
      <w:r w:rsidRPr="00F66A62">
        <w:rPr>
          <w:rStyle w:val="nfasis"/>
        </w:rPr>
        <w:t>Diario Oficial de la Federación</w:t>
      </w:r>
      <w:r w:rsidRPr="00F66A62">
        <w:t>.</w:t>
      </w:r>
      <w:r w:rsidRPr="00F66A62">
        <w:br/>
      </w:r>
      <w:hyperlink r:id="rId33" w:tgtFrame="_new" w:history="1">
        <w:r w:rsidRPr="00F66A62">
          <w:rPr>
            <w:rStyle w:val="Hipervnculo"/>
            <w:color w:val="auto"/>
            <w:u w:val="none"/>
          </w:rPr>
          <w:t>https://www.diputados.gob.mx/LeyesBiblio/pdf/208_190118.pdf</w:t>
        </w:r>
      </w:hyperlink>
    </w:p>
    <w:p w14:paraId="7768ABBA" w14:textId="2D15EBD2" w:rsidR="00DF05B9" w:rsidRPr="00F66A62" w:rsidRDefault="00DF05B9" w:rsidP="00F66A62">
      <w:pPr>
        <w:pStyle w:val="NormalWeb"/>
        <w:spacing w:before="120" w:beforeAutospacing="0" w:after="120" w:afterAutospacing="0" w:line="360" w:lineRule="auto"/>
        <w:ind w:left="709" w:hanging="709"/>
        <w:jc w:val="both"/>
      </w:pPr>
      <w:r w:rsidRPr="00F66A62">
        <w:t xml:space="preserve">Limón, M. (2022). </w:t>
      </w:r>
      <w:r w:rsidRPr="00F66A62">
        <w:rPr>
          <w:rStyle w:val="nfasis"/>
        </w:rPr>
        <w:t>El RVOE como política de aseguramiento y mejora de la calidad: El caso del plan de estudios de la licenciatura en pedagogía del CESCIJUC</w:t>
      </w:r>
      <w:r w:rsidRPr="00F66A62">
        <w:t xml:space="preserve"> (Tesis de maestría). Universidad Pedagógica Nacional. </w:t>
      </w:r>
      <w:hyperlink r:id="rId34" w:history="1">
        <w:r w:rsidRPr="00F66A62">
          <w:rPr>
            <w:rStyle w:val="Hipervnculo"/>
            <w:color w:val="auto"/>
            <w:u w:val="none"/>
          </w:rPr>
          <w:t>http://rixplora.upn.mx/jspui/bitstream/RIUPN/143595/2/1906UPN092MDELIMO2022.pdf</w:t>
        </w:r>
      </w:hyperlink>
    </w:p>
    <w:p w14:paraId="624A8460" w14:textId="4A75C536" w:rsidR="00407CEF" w:rsidRDefault="004F2223" w:rsidP="00407CEF">
      <w:pPr>
        <w:pStyle w:val="NormalWeb"/>
        <w:spacing w:before="120" w:beforeAutospacing="0" w:after="120" w:afterAutospacing="0" w:line="360" w:lineRule="auto"/>
        <w:ind w:left="709" w:hanging="709"/>
        <w:jc w:val="both"/>
      </w:pPr>
      <w:r>
        <w:t xml:space="preserve">Secretaría de Educación Pública. (2017, 13 de noviembre). </w:t>
      </w:r>
      <w:r>
        <w:rPr>
          <w:rStyle w:val="nfasis"/>
        </w:rPr>
        <w:t>Acuerdo número 17/11/17 por el que se establecen los trámites y procedimientos relacionados con el reconocimiento de validez oficial de estudios del tipo superior</w:t>
      </w:r>
      <w:r>
        <w:t xml:space="preserve">. Diario Oficial de la Federación. </w:t>
      </w:r>
      <w:r w:rsidR="00407CEF" w:rsidRPr="00407CEF">
        <w:t>https://www.dof.gob.mx/nota_detalle.php?codigo=5504348&amp;fecha=13/11/2017</w:t>
      </w:r>
    </w:p>
    <w:p w14:paraId="3E206D26" w14:textId="7470B141" w:rsidR="00407CEF" w:rsidRDefault="00407CEF" w:rsidP="00407CEF">
      <w:pPr>
        <w:pStyle w:val="NormalWeb"/>
        <w:spacing w:before="120" w:beforeAutospacing="0" w:after="120" w:afterAutospacing="0" w:line="360" w:lineRule="auto"/>
        <w:ind w:left="709" w:hanging="709"/>
        <w:jc w:val="both"/>
      </w:pPr>
      <w:r>
        <w:t xml:space="preserve">Secretaría de Educación Pública. (s. f.). </w:t>
      </w:r>
      <w:r>
        <w:rPr>
          <w:rStyle w:val="nfasis"/>
        </w:rPr>
        <w:t>Preguntas frecuentes del Sistema de Reconocimiento de Validez Oficial de Estudios (SIRVOES)</w:t>
      </w:r>
      <w:r>
        <w:t xml:space="preserve">. Sistema de Reconocimiento de Validez Oficial de Estudios. </w:t>
      </w:r>
      <w:r w:rsidRPr="00407CEF">
        <w:t>https://sirvoes.sep.gob.mx/sirvoes/mvc/preguntasFrecuentes</w:t>
      </w:r>
    </w:p>
    <w:p w14:paraId="3D909623" w14:textId="4297165B" w:rsidR="00DF05B9" w:rsidRDefault="00DF05B9" w:rsidP="00F66A62">
      <w:pPr>
        <w:pStyle w:val="NormalWeb"/>
        <w:spacing w:before="120" w:beforeAutospacing="0" w:after="120" w:afterAutospacing="0" w:line="360" w:lineRule="auto"/>
        <w:ind w:left="709" w:hanging="709"/>
        <w:jc w:val="both"/>
        <w:rPr>
          <w:rStyle w:val="Hipervnculo"/>
          <w:color w:val="auto"/>
          <w:u w:val="none"/>
        </w:rPr>
      </w:pPr>
      <w:r w:rsidRPr="00F66A62">
        <w:t xml:space="preserve">Suprema Corte de Justicia de la Nación. (2023). </w:t>
      </w:r>
      <w:r w:rsidRPr="00F66A62">
        <w:rPr>
          <w:rStyle w:val="nfasis"/>
        </w:rPr>
        <w:t>Amparo en revisión 466/2022</w:t>
      </w:r>
      <w:r w:rsidRPr="00F66A62">
        <w:t>.</w:t>
      </w:r>
      <w:r w:rsidRPr="00F66A62">
        <w:br/>
      </w:r>
      <w:hyperlink r:id="rId35" w:history="1">
        <w:r w:rsidRPr="00F66A62">
          <w:rPr>
            <w:rStyle w:val="Hipervnculo"/>
            <w:color w:val="auto"/>
            <w:u w:val="none"/>
          </w:rPr>
          <w:t>https://www.scjn.gob.mx/sites/default/files/listas/documento_dos/202212/466.pdf</w:t>
        </w:r>
      </w:hyperlink>
    </w:p>
    <w:p w14:paraId="232D732D" w14:textId="61185410" w:rsidR="00DF05B9" w:rsidRPr="00F66A62" w:rsidRDefault="00DF05B9" w:rsidP="00F66A62">
      <w:pPr>
        <w:pStyle w:val="NormalWeb"/>
        <w:spacing w:before="120" w:beforeAutospacing="0" w:after="120" w:afterAutospacing="0" w:line="360" w:lineRule="auto"/>
        <w:ind w:left="709" w:hanging="709"/>
        <w:jc w:val="both"/>
      </w:pPr>
      <w:r w:rsidRPr="00F66A62">
        <w:t xml:space="preserve">Villalobos, A. (2020). </w:t>
      </w:r>
      <w:r w:rsidRPr="00F66A62">
        <w:rPr>
          <w:rStyle w:val="nfasis"/>
        </w:rPr>
        <w:t>Universidades en línea en México, una visión económica</w:t>
      </w:r>
      <w:r w:rsidRPr="00F66A62">
        <w:t xml:space="preserve">. MPRA </w:t>
      </w:r>
      <w:proofErr w:type="spellStart"/>
      <w:r w:rsidRPr="00F66A62">
        <w:t>Paper</w:t>
      </w:r>
      <w:proofErr w:type="spellEnd"/>
      <w:r w:rsidRPr="00F66A62">
        <w:t xml:space="preserve">. </w:t>
      </w:r>
      <w:hyperlink r:id="rId36" w:tgtFrame="_new" w:history="1">
        <w:r w:rsidRPr="00F66A62">
          <w:rPr>
            <w:rStyle w:val="Hipervnculo"/>
            <w:color w:val="auto"/>
            <w:u w:val="none"/>
          </w:rPr>
          <w:t>https://mpra.ub.uni-muenchen.de/104480/</w:t>
        </w:r>
      </w:hyperlink>
    </w:p>
    <w:p w14:paraId="008DC6B6" w14:textId="7711C1AF" w:rsidR="00407CEF" w:rsidRDefault="006D5957" w:rsidP="001126E1">
      <w:pPr>
        <w:tabs>
          <w:tab w:val="left" w:pos="5311"/>
        </w:tabs>
        <w:spacing w:before="120" w:after="120" w:line="360" w:lineRule="auto"/>
        <w:ind w:left="709" w:hanging="709"/>
        <w:rPr>
          <w:rFonts w:ascii="Times New Roman" w:hAnsi="Times New Roman"/>
          <w:b/>
          <w:sz w:val="24"/>
          <w:szCs w:val="24"/>
          <w:lang w:val="es-PE"/>
        </w:rPr>
      </w:pPr>
      <w:r>
        <w:rPr>
          <w:rFonts w:ascii="Times New Roman" w:hAnsi="Times New Roman"/>
          <w:b/>
          <w:sz w:val="24"/>
          <w:szCs w:val="24"/>
          <w:lang w:val="es-PE"/>
        </w:rPr>
        <w:tab/>
      </w:r>
    </w:p>
    <w:p w14:paraId="7F406024" w14:textId="63B531CC" w:rsidR="001126E1" w:rsidRDefault="001126E1" w:rsidP="001126E1">
      <w:pPr>
        <w:tabs>
          <w:tab w:val="left" w:pos="5311"/>
        </w:tabs>
        <w:spacing w:before="120" w:after="120" w:line="360" w:lineRule="auto"/>
        <w:ind w:left="709" w:hanging="709"/>
        <w:rPr>
          <w:rFonts w:ascii="Times New Roman" w:hAnsi="Times New Roman"/>
          <w:b/>
          <w:sz w:val="24"/>
          <w:szCs w:val="24"/>
        </w:rPr>
      </w:pPr>
    </w:p>
    <w:p w14:paraId="39444E87" w14:textId="0C856EB5" w:rsidR="001126E1" w:rsidRDefault="001126E1" w:rsidP="001126E1">
      <w:pPr>
        <w:tabs>
          <w:tab w:val="left" w:pos="5311"/>
        </w:tabs>
        <w:spacing w:before="120" w:after="120" w:line="360" w:lineRule="auto"/>
        <w:ind w:left="709" w:hanging="709"/>
        <w:rPr>
          <w:rFonts w:ascii="Times New Roman" w:hAnsi="Times New Roman"/>
          <w:b/>
          <w:sz w:val="24"/>
          <w:szCs w:val="24"/>
        </w:rPr>
      </w:pPr>
    </w:p>
    <w:p w14:paraId="75F4CB2D" w14:textId="77777777" w:rsidR="001126E1" w:rsidRDefault="001126E1" w:rsidP="001126E1">
      <w:pPr>
        <w:tabs>
          <w:tab w:val="left" w:pos="5311"/>
        </w:tabs>
        <w:spacing w:before="120" w:after="120" w:line="360" w:lineRule="auto"/>
        <w:ind w:left="709" w:hanging="709"/>
        <w:rPr>
          <w:rFonts w:ascii="Times New Roman" w:hAnsi="Times New Roman"/>
          <w:b/>
          <w:sz w:val="24"/>
          <w:szCs w:val="24"/>
        </w:rPr>
      </w:pPr>
    </w:p>
    <w:p w14:paraId="3C48A1F4" w14:textId="1087A9AE" w:rsidR="00407CEF" w:rsidRDefault="00407CEF" w:rsidP="00F66A62">
      <w:pPr>
        <w:spacing w:before="120" w:after="120" w:line="360" w:lineRule="auto"/>
        <w:ind w:left="709" w:hanging="709"/>
        <w:jc w:val="center"/>
        <w:rPr>
          <w:rFonts w:ascii="Times New Roman" w:hAnsi="Times New Roman"/>
          <w:b/>
          <w:sz w:val="24"/>
          <w:szCs w:val="24"/>
        </w:rPr>
      </w:pPr>
    </w:p>
    <w:p w14:paraId="3F8535BA" w14:textId="746AFF47" w:rsidR="004D0FC8" w:rsidRDefault="004D0FC8" w:rsidP="00F66A62">
      <w:pPr>
        <w:spacing w:before="120" w:after="120" w:line="360" w:lineRule="auto"/>
        <w:ind w:left="709" w:hanging="709"/>
        <w:jc w:val="center"/>
        <w:rPr>
          <w:rFonts w:ascii="Times New Roman" w:hAnsi="Times New Roman"/>
          <w:b/>
          <w:sz w:val="24"/>
          <w:szCs w:val="24"/>
        </w:rPr>
      </w:pPr>
    </w:p>
    <w:p w14:paraId="47D03769" w14:textId="19EA9149" w:rsidR="004D0FC8" w:rsidRDefault="004D0FC8" w:rsidP="00F66A62">
      <w:pPr>
        <w:spacing w:before="120" w:after="120" w:line="360" w:lineRule="auto"/>
        <w:ind w:left="709" w:hanging="709"/>
        <w:jc w:val="center"/>
        <w:rPr>
          <w:rFonts w:ascii="Times New Roman" w:hAnsi="Times New Roman"/>
          <w:b/>
          <w:sz w:val="24"/>
          <w:szCs w:val="24"/>
        </w:rPr>
      </w:pPr>
    </w:p>
    <w:p w14:paraId="56D464B3" w14:textId="77777777" w:rsidR="004D0FC8" w:rsidRDefault="004D0FC8" w:rsidP="00F66A62">
      <w:pPr>
        <w:spacing w:before="120" w:after="120" w:line="360" w:lineRule="auto"/>
        <w:ind w:left="709" w:hanging="709"/>
        <w:jc w:val="center"/>
        <w:rPr>
          <w:rFonts w:ascii="Times New Roman" w:hAnsi="Times New Roman"/>
          <w:b/>
          <w:sz w:val="24"/>
          <w:szCs w:val="24"/>
        </w:rPr>
      </w:pPr>
    </w:p>
    <w:p w14:paraId="72D8C545" w14:textId="208D719A" w:rsidR="003F4B1F" w:rsidRPr="00F66A62" w:rsidRDefault="003F4B1F" w:rsidP="00F66A62">
      <w:pPr>
        <w:spacing w:before="120" w:after="120" w:line="360" w:lineRule="auto"/>
        <w:ind w:left="709" w:hanging="709"/>
        <w:jc w:val="center"/>
        <w:rPr>
          <w:rFonts w:ascii="Times New Roman" w:hAnsi="Times New Roman"/>
          <w:b/>
          <w:sz w:val="24"/>
          <w:szCs w:val="24"/>
        </w:rPr>
      </w:pPr>
      <w:r w:rsidRPr="00F66A62">
        <w:rPr>
          <w:rFonts w:ascii="Times New Roman" w:hAnsi="Times New Roman"/>
          <w:b/>
          <w:sz w:val="24"/>
          <w:szCs w:val="24"/>
        </w:rPr>
        <w:lastRenderedPageBreak/>
        <w:t>Trayectoria académica</w:t>
      </w:r>
    </w:p>
    <w:bookmarkEnd w:id="0"/>
    <w:p w14:paraId="71342C55" w14:textId="431F290D" w:rsidR="00BD745C" w:rsidRPr="00F66A62" w:rsidRDefault="00BD745C" w:rsidP="00F66A62">
      <w:pPr>
        <w:tabs>
          <w:tab w:val="left" w:pos="3591"/>
        </w:tabs>
        <w:spacing w:before="120" w:after="120" w:line="360" w:lineRule="auto"/>
        <w:ind w:left="709" w:hanging="709"/>
        <w:rPr>
          <w:rFonts w:ascii="Times New Roman" w:hAnsi="Times New Roman"/>
          <w:sz w:val="24"/>
          <w:szCs w:val="24"/>
        </w:rPr>
      </w:pPr>
      <w:r w:rsidRPr="00F66A62">
        <w:rPr>
          <w:rFonts w:ascii="Times New Roman" w:eastAsia="Times New Roman" w:hAnsi="Times New Roman"/>
          <w:b/>
          <w:bCs/>
          <w:sz w:val="24"/>
          <w:szCs w:val="24"/>
          <w:lang w:val="es-PE" w:eastAsia="es-PE"/>
        </w:rPr>
        <w:t>José Antonio Villalobos López</w:t>
      </w:r>
      <w:r w:rsidRPr="00F66A62">
        <w:rPr>
          <w:rFonts w:ascii="Times New Roman" w:hAnsi="Times New Roman"/>
          <w:sz w:val="24"/>
          <w:szCs w:val="24"/>
        </w:rPr>
        <w:t xml:space="preserve"> </w:t>
      </w:r>
    </w:p>
    <w:p w14:paraId="0F6A1FDC" w14:textId="370443CC" w:rsidR="0096075A" w:rsidRPr="00F66A62" w:rsidRDefault="00C6113B" w:rsidP="00F66A62">
      <w:pPr>
        <w:spacing w:before="120" w:after="120" w:line="360" w:lineRule="auto"/>
        <w:jc w:val="both"/>
        <w:rPr>
          <w:rFonts w:ascii="Times New Roman" w:hAnsi="Times New Roman"/>
          <w:sz w:val="24"/>
          <w:szCs w:val="24"/>
        </w:rPr>
      </w:pPr>
      <w:r w:rsidRPr="00F66A62">
        <w:rPr>
          <w:rFonts w:ascii="Times New Roman" w:hAnsi="Times New Roman"/>
          <w:sz w:val="24"/>
          <w:szCs w:val="24"/>
        </w:rPr>
        <w:t>Posee una amplia formación académica que incluye el Doctorado en Finanzas por la Universidad José Vasconcelos de Chiapas, el Doctorado en Alta Dirección por el Instituto de Estudios Superiores para la Competitividad y el Desarrollo de América (IESCDA) y el Doctorado en Ciencias de la Comunicación por TECH México Universidad Tecnológica, donde también obtuvo la Maestría en Banca y Mercados Financieros. Asimismo, cuenta con un Doctorado en Finanzas y Empresa (certificado) por el Centro de Estudios Superiores en Ciencias Jurídicas y Criminológicas (CESCIJUC) y un Doctorado en Ciencias Económicas (certificado) por la Escuela Superior de Economía del Instituto Politécnico Nacional (IPN), institución en la que también cursó la Maestría en Ciencias con especialidad en Desarrollo Económico (certificado). Complementa su trayectoria académica con una Maestría en Derecho Fiscal por la Universidad Azteca y una Maestría en Derecho Corporativo por la Universidad Latinoamericana (ULA). Ha sido distinguido con el Segundo Lugar en el Premio de Estudios Municipales (1986) y en el Premio Estatal de Desarrollo Municipal (1990) del Estado de México</w:t>
      </w:r>
      <w:r w:rsidR="00083A73" w:rsidRPr="00F66A62">
        <w:rPr>
          <w:rFonts w:ascii="Times New Roman" w:hAnsi="Times New Roman"/>
          <w:sz w:val="24"/>
          <w:szCs w:val="24"/>
        </w:rPr>
        <w:t>.</w:t>
      </w:r>
    </w:p>
    <w:sectPr w:rsidR="0096075A" w:rsidRPr="00F66A62" w:rsidSect="00245A60">
      <w:type w:val="continuous"/>
      <w:pgSz w:w="11906" w:h="16838" w:code="9"/>
      <w:pgMar w:top="1417" w:right="1701" w:bottom="1417" w:left="1701" w:header="850" w:footer="850" w:gutter="0"/>
      <w:pgNumType w:start="9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11000" w14:textId="77777777" w:rsidR="008A2B70" w:rsidRDefault="008A2B70" w:rsidP="00F0076B">
      <w:pPr>
        <w:spacing w:line="240" w:lineRule="auto"/>
      </w:pPr>
      <w:r>
        <w:separator/>
      </w:r>
    </w:p>
  </w:endnote>
  <w:endnote w:type="continuationSeparator" w:id="0">
    <w:p w14:paraId="702AB875" w14:textId="77777777" w:rsidR="008A2B70" w:rsidRDefault="008A2B70" w:rsidP="00F007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D1D5" w14:textId="77777777" w:rsidR="004D0FC8" w:rsidRDefault="004D0FC8" w:rsidP="004D0FC8">
    <w:pPr>
      <w:pStyle w:val="Piedepgina"/>
      <w:rPr>
        <w:rFonts w:ascii="Times New Roman" w:hAnsi="Times New Roman"/>
        <w:sz w:val="24"/>
      </w:rPr>
    </w:pPr>
    <w:bookmarkStart w:id="1" w:name="_Hlk188831603"/>
    <w:bookmarkStart w:id="2" w:name="_Hlk188831604"/>
    <w:bookmarkStart w:id="3" w:name="_Hlk188831584"/>
    <w:bookmarkStart w:id="4" w:name="_Hlk188831585"/>
    <w:r>
      <w:rPr>
        <w:noProof/>
      </w:rPr>
      <mc:AlternateContent>
        <mc:Choice Requires="wps">
          <w:drawing>
            <wp:anchor distT="0" distB="0" distL="114300" distR="114300" simplePos="0" relativeHeight="251687936" behindDoc="0" locked="0" layoutInCell="1" allowOverlap="1" wp14:anchorId="6FA37642" wp14:editId="160BC50A">
              <wp:simplePos x="0" y="0"/>
              <wp:positionH relativeFrom="page">
                <wp:posOffset>-42545</wp:posOffset>
              </wp:positionH>
              <wp:positionV relativeFrom="page">
                <wp:posOffset>9415145</wp:posOffset>
              </wp:positionV>
              <wp:extent cx="1404000" cy="1404000"/>
              <wp:effectExtent l="0" t="0" r="5715" b="5715"/>
              <wp:wrapNone/>
              <wp:docPr id="2" name="Triángulo isósceles 353854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04000" cy="1404000"/>
                      </a:xfrm>
                      <a:prstGeom prst="triangle">
                        <a:avLst>
                          <a:gd name="adj" fmla="val 100000"/>
                        </a:avLst>
                      </a:prstGeom>
                      <a:solidFill>
                        <a:srgbClr val="00206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805147" w14:textId="77777777" w:rsidR="004D0FC8" w:rsidRPr="00245A60" w:rsidRDefault="004D0FC8" w:rsidP="004D0FC8">
                          <w:pPr>
                            <w:spacing w:line="240" w:lineRule="auto"/>
                            <w:ind w:right="-98"/>
                            <w:jc w:val="center"/>
                            <w:rPr>
                              <w:rFonts w:asciiTheme="minorHAnsi" w:hAnsiTheme="minorHAnsi" w:cstheme="minorHAnsi"/>
                              <w:sz w:val="52"/>
                              <w:szCs w:val="52"/>
                            </w:rPr>
                          </w:pPr>
                          <w:r w:rsidRPr="00245A60">
                            <w:rPr>
                              <w:rFonts w:asciiTheme="minorHAnsi" w:hAnsiTheme="minorHAnsi" w:cstheme="minorHAnsi"/>
                              <w:sz w:val="52"/>
                              <w:szCs w:val="52"/>
                            </w:rPr>
                            <w:fldChar w:fldCharType="begin"/>
                          </w:r>
                          <w:r w:rsidRPr="00245A60">
                            <w:rPr>
                              <w:rFonts w:asciiTheme="minorHAnsi" w:hAnsiTheme="minorHAnsi" w:cstheme="minorHAnsi"/>
                              <w:sz w:val="52"/>
                              <w:szCs w:val="52"/>
                            </w:rPr>
                            <w:instrText>PAGE    \* MERGEFORMAT</w:instrText>
                          </w:r>
                          <w:r w:rsidRPr="00245A60">
                            <w:rPr>
                              <w:rFonts w:asciiTheme="minorHAnsi" w:hAnsiTheme="minorHAnsi" w:cstheme="minorHAnsi"/>
                              <w:sz w:val="52"/>
                              <w:szCs w:val="52"/>
                            </w:rPr>
                            <w:fldChar w:fldCharType="separate"/>
                          </w:r>
                          <w:r w:rsidRPr="00245A60">
                            <w:rPr>
                              <w:rFonts w:asciiTheme="minorHAnsi" w:hAnsiTheme="minorHAnsi" w:cstheme="minorHAnsi"/>
                              <w:color w:val="FFFFFF"/>
                              <w:sz w:val="52"/>
                              <w:szCs w:val="52"/>
                            </w:rPr>
                            <w:t>2</w:t>
                          </w:r>
                          <w:r w:rsidRPr="00245A60">
                            <w:rPr>
                              <w:rFonts w:asciiTheme="minorHAnsi" w:hAnsiTheme="minorHAnsi" w:cstheme="minorHAnsi"/>
                              <w:color w:val="FFFFFF"/>
                              <w:sz w:val="52"/>
                              <w:szCs w:val="5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3764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353854323" o:spid="_x0000_s1026" type="#_x0000_t5" style="position:absolute;margin-left:-3.35pt;margin-top:741.35pt;width:110.55pt;height:110.55pt;flip:x;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" adj="21600" fillcolor="#002060" stroked="f">
              <v:textbox>
                <w:txbxContent>
                  <w:p w14:paraId="3B805147" w14:textId="77777777" w:rsidR="004D0FC8" w:rsidRPr="00245A60" w:rsidRDefault="004D0FC8" w:rsidP="004D0FC8">
                    <w:pPr>
                      <w:spacing w:line="240" w:lineRule="auto"/>
                      <w:ind w:right="-98"/>
                      <w:jc w:val="center"/>
                      <w:rPr>
                        <w:rFonts w:asciiTheme="minorHAnsi" w:hAnsiTheme="minorHAnsi" w:cstheme="minorHAnsi"/>
                        <w:sz w:val="52"/>
                        <w:szCs w:val="52"/>
                      </w:rPr>
                    </w:pPr>
                    <w:r w:rsidRPr="00245A60">
                      <w:rPr>
                        <w:rFonts w:asciiTheme="minorHAnsi" w:hAnsiTheme="minorHAnsi" w:cstheme="minorHAnsi"/>
                        <w:sz w:val="52"/>
                        <w:szCs w:val="52"/>
                      </w:rPr>
                      <w:fldChar w:fldCharType="begin"/>
                    </w:r>
                    <w:r w:rsidRPr="00245A60">
                      <w:rPr>
                        <w:rFonts w:asciiTheme="minorHAnsi" w:hAnsiTheme="minorHAnsi" w:cstheme="minorHAnsi"/>
                        <w:sz w:val="52"/>
                        <w:szCs w:val="52"/>
                      </w:rPr>
                      <w:instrText>PAGE    \* MERGEFORMAT</w:instrText>
                    </w:r>
                    <w:r w:rsidRPr="00245A60">
                      <w:rPr>
                        <w:rFonts w:asciiTheme="minorHAnsi" w:hAnsiTheme="minorHAnsi" w:cstheme="minorHAnsi"/>
                        <w:sz w:val="52"/>
                        <w:szCs w:val="52"/>
                      </w:rPr>
                      <w:fldChar w:fldCharType="separate"/>
                    </w:r>
                    <w:r w:rsidRPr="00245A60">
                      <w:rPr>
                        <w:rFonts w:asciiTheme="minorHAnsi" w:hAnsiTheme="minorHAnsi" w:cstheme="minorHAnsi"/>
                        <w:color w:val="FFFFFF"/>
                        <w:sz w:val="52"/>
                        <w:szCs w:val="52"/>
                      </w:rPr>
                      <w:t>2</w:t>
                    </w:r>
                    <w:r w:rsidRPr="00245A60">
                      <w:rPr>
                        <w:rFonts w:asciiTheme="minorHAnsi" w:hAnsiTheme="minorHAnsi" w:cstheme="minorHAnsi"/>
                        <w:color w:val="FFFFFF"/>
                        <w:sz w:val="52"/>
                        <w:szCs w:val="52"/>
                      </w:rPr>
                      <w:fldChar w:fldCharType="end"/>
                    </w:r>
                  </w:p>
                </w:txbxContent>
              </v:textbox>
              <w10:wrap anchorx="page" anchory="page"/>
            </v:shape>
          </w:pict>
        </mc:Fallback>
      </mc:AlternateContent>
    </w:r>
    <w:r w:rsidRPr="00866AB5">
      <w:rPr>
        <w:rFonts w:ascii="Times New Roman" w:hAnsi="Times New Roman"/>
        <w:sz w:val="24"/>
      </w:rPr>
      <w:t>EDUCA UMCH, 2</w:t>
    </w:r>
    <w:r>
      <w:rPr>
        <w:rFonts w:ascii="Times New Roman" w:hAnsi="Times New Roman"/>
        <w:sz w:val="24"/>
      </w:rPr>
      <w:t>6</w:t>
    </w:r>
    <w:r w:rsidRPr="00866AB5">
      <w:rPr>
        <w:rFonts w:ascii="Times New Roman" w:hAnsi="Times New Roman"/>
        <w:sz w:val="24"/>
      </w:rPr>
      <w:t xml:space="preserve">, </w:t>
    </w:r>
    <w:r>
      <w:rPr>
        <w:rFonts w:ascii="Times New Roman" w:hAnsi="Times New Roman"/>
        <w:sz w:val="24"/>
      </w:rPr>
      <w:t>enero</w:t>
    </w:r>
    <w:r w:rsidRPr="00866AB5">
      <w:rPr>
        <w:rFonts w:ascii="Times New Roman" w:hAnsi="Times New Roman"/>
        <w:sz w:val="24"/>
      </w:rPr>
      <w:t xml:space="preserve"> - </w:t>
    </w:r>
    <w:r>
      <w:rPr>
        <w:rFonts w:ascii="Times New Roman" w:hAnsi="Times New Roman"/>
        <w:sz w:val="24"/>
      </w:rPr>
      <w:t>junio</w:t>
    </w:r>
    <w:r w:rsidRPr="00866AB5">
      <w:rPr>
        <w:rFonts w:ascii="Times New Roman" w:hAnsi="Times New Roman"/>
        <w:sz w:val="24"/>
      </w:rPr>
      <w:t xml:space="preserve"> 202</w:t>
    </w:r>
    <w:r>
      <w:rPr>
        <w:rFonts w:ascii="Times New Roman" w:hAnsi="Times New Roman"/>
        <w:sz w:val="24"/>
      </w:rPr>
      <w:t>5</w:t>
    </w:r>
    <w:bookmarkEnd w:id="1"/>
    <w:bookmarkEnd w:id="2"/>
    <w:bookmarkEnd w:id="3"/>
    <w:bookmarkEnd w:id="4"/>
  </w:p>
  <w:p w14:paraId="4E10A554" w14:textId="77777777" w:rsidR="004D0FC8" w:rsidRPr="00CB0D27" w:rsidRDefault="004D0FC8" w:rsidP="004D0FC8">
    <w:pPr>
      <w:pStyle w:val="Piedepgina"/>
      <w:rPr>
        <w:rFonts w:ascii="Times New Roman" w:hAnsi="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805B" w14:textId="77777777" w:rsidR="004D0FC8" w:rsidRDefault="004D0FC8" w:rsidP="004D0FC8">
    <w:pPr>
      <w:pStyle w:val="Piedepgina"/>
      <w:tabs>
        <w:tab w:val="clear" w:pos="4252"/>
        <w:tab w:val="center" w:pos="142"/>
      </w:tabs>
      <w:rPr>
        <w:rFonts w:ascii="Times New Roman" w:hAnsi="Times New Roman"/>
        <w:sz w:val="24"/>
      </w:rPr>
    </w:pPr>
    <w:bookmarkStart w:id="5" w:name="_Hlk185383375"/>
    <w:bookmarkStart w:id="6" w:name="_Hlk188831621"/>
    <w:r>
      <w:rPr>
        <w:noProof/>
      </w:rPr>
      <mc:AlternateContent>
        <mc:Choice Requires="wps">
          <w:drawing>
            <wp:anchor distT="0" distB="0" distL="114300" distR="114300" simplePos="0" relativeHeight="251689984" behindDoc="0" locked="0" layoutInCell="1" allowOverlap="1" wp14:anchorId="3664D414" wp14:editId="69268A91">
              <wp:simplePos x="0" y="0"/>
              <wp:positionH relativeFrom="page">
                <wp:posOffset>6186827</wp:posOffset>
              </wp:positionH>
              <wp:positionV relativeFrom="page">
                <wp:posOffset>9327011</wp:posOffset>
              </wp:positionV>
              <wp:extent cx="1404000" cy="1404000"/>
              <wp:effectExtent l="0" t="0" r="24765" b="24765"/>
              <wp:wrapNone/>
              <wp:docPr id="1" name="Triángulo isósceles 151937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4000" cy="1404000"/>
                      </a:xfrm>
                      <a:prstGeom prst="triangle">
                        <a:avLst>
                          <a:gd name="adj" fmla="val 100000"/>
                        </a:avLst>
                      </a:prstGeom>
                      <a:solidFill>
                        <a:srgbClr val="002060"/>
                      </a:solidFill>
                      <a:ln>
                        <a:solidFill>
                          <a:srgbClr val="002060"/>
                        </a:solidFill>
                      </a:ln>
                    </wps:spPr>
                    <wps:txbx>
                      <w:txbxContent>
                        <w:p w14:paraId="58218065" w14:textId="77777777" w:rsidR="004D0FC8" w:rsidRPr="001E67B3" w:rsidRDefault="004D0FC8" w:rsidP="004D0FC8">
                          <w:pPr>
                            <w:spacing w:line="240" w:lineRule="auto"/>
                            <w:ind w:left="-142" w:hanging="142"/>
                            <w:jc w:val="center"/>
                            <w:rPr>
                              <w:sz w:val="52"/>
                              <w:szCs w:val="52"/>
                            </w:rPr>
                          </w:pPr>
                          <w:r w:rsidRPr="001E67B3">
                            <w:rPr>
                              <w:rFonts w:eastAsia="Times New Roman"/>
                              <w:sz w:val="52"/>
                              <w:szCs w:val="52"/>
                            </w:rPr>
                            <w:fldChar w:fldCharType="begin"/>
                          </w:r>
                          <w:r w:rsidRPr="001E67B3">
                            <w:rPr>
                              <w:sz w:val="52"/>
                              <w:szCs w:val="52"/>
                            </w:rPr>
                            <w:instrText>PAGE    \* MERGEFORMAT</w:instrText>
                          </w:r>
                          <w:r w:rsidRPr="001E67B3">
                            <w:rPr>
                              <w:rFonts w:eastAsia="Times New Roman"/>
                              <w:sz w:val="52"/>
                              <w:szCs w:val="52"/>
                            </w:rPr>
                            <w:fldChar w:fldCharType="separate"/>
                          </w:r>
                          <w:r w:rsidRPr="001E67B3">
                            <w:rPr>
                              <w:rFonts w:ascii="Calibri Light" w:eastAsia="Times New Roman" w:hAnsi="Calibri Light"/>
                              <w:color w:val="FFFFFF"/>
                              <w:sz w:val="52"/>
                              <w:szCs w:val="52"/>
                            </w:rPr>
                            <w:t>2</w:t>
                          </w:r>
                          <w:r w:rsidRPr="001E67B3">
                            <w:rPr>
                              <w:rFonts w:ascii="Calibri Light" w:eastAsia="Times New Roman" w:hAnsi="Calibri Light"/>
                              <w:color w:val="FFFFFF"/>
                              <w:sz w:val="52"/>
                              <w:szCs w:val="5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4D41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151937019" o:spid="_x0000_s1027" type="#_x0000_t5" style="position:absolute;margin-left:487.15pt;margin-top:734.4pt;width:110.55pt;height:110.5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" adj="21600" fillcolor="#002060" strokecolor="#002060">
              <v:textbox>
                <w:txbxContent>
                  <w:p w14:paraId="58218065" w14:textId="77777777" w:rsidR="004D0FC8" w:rsidRPr="001E67B3" w:rsidRDefault="004D0FC8" w:rsidP="004D0FC8">
                    <w:pPr>
                      <w:spacing w:line="240" w:lineRule="auto"/>
                      <w:ind w:left="-142" w:hanging="142"/>
                      <w:jc w:val="center"/>
                      <w:rPr>
                        <w:sz w:val="52"/>
                        <w:szCs w:val="52"/>
                      </w:rPr>
                    </w:pPr>
                    <w:r w:rsidRPr="001E67B3">
                      <w:rPr>
                        <w:rFonts w:eastAsia="Times New Roman"/>
                        <w:sz w:val="52"/>
                        <w:szCs w:val="52"/>
                      </w:rPr>
                      <w:fldChar w:fldCharType="begin"/>
                    </w:r>
                    <w:r w:rsidRPr="001E67B3">
                      <w:rPr>
                        <w:sz w:val="52"/>
                        <w:szCs w:val="52"/>
                      </w:rPr>
                      <w:instrText>PAGE    \* MERGEFORMAT</w:instrText>
                    </w:r>
                    <w:r w:rsidRPr="001E67B3">
                      <w:rPr>
                        <w:rFonts w:eastAsia="Times New Roman"/>
                        <w:sz w:val="52"/>
                        <w:szCs w:val="52"/>
                      </w:rPr>
                      <w:fldChar w:fldCharType="separate"/>
                    </w:r>
                    <w:r w:rsidRPr="001E67B3">
                      <w:rPr>
                        <w:rFonts w:ascii="Calibri Light" w:eastAsia="Times New Roman" w:hAnsi="Calibri Light"/>
                        <w:color w:val="FFFFFF"/>
                        <w:sz w:val="52"/>
                        <w:szCs w:val="52"/>
                      </w:rPr>
                      <w:t>2</w:t>
                    </w:r>
                    <w:r w:rsidRPr="001E67B3">
                      <w:rPr>
                        <w:rFonts w:ascii="Calibri Light" w:eastAsia="Times New Roman" w:hAnsi="Calibri Light"/>
                        <w:color w:val="FFFFFF"/>
                        <w:sz w:val="52"/>
                        <w:szCs w:val="52"/>
                      </w:rPr>
                      <w:fldChar w:fldCharType="end"/>
                    </w:r>
                  </w:p>
                </w:txbxContent>
              </v:textbox>
              <w10:wrap anchorx="page" anchory="page"/>
            </v:shape>
          </w:pict>
        </mc:Fallback>
      </mc:AlternateContent>
    </w:r>
    <w:r w:rsidRPr="00FD3449">
      <w:rPr>
        <w:rFonts w:ascii="Times New Roman" w:hAnsi="Times New Roman"/>
        <w:sz w:val="24"/>
      </w:rPr>
      <w:t xml:space="preserve">ISSN: 2617 </w:t>
    </w:r>
    <w:r>
      <w:rPr>
        <w:rFonts w:ascii="Times New Roman" w:hAnsi="Times New Roman"/>
        <w:sz w:val="24"/>
      </w:rPr>
      <w:t>-</w:t>
    </w:r>
    <w:r w:rsidRPr="00FD3449">
      <w:rPr>
        <w:rFonts w:ascii="Times New Roman" w:hAnsi="Times New Roman"/>
        <w:sz w:val="24"/>
      </w:rPr>
      <w:t xml:space="preserve"> 0337 </w:t>
    </w:r>
  </w:p>
  <w:p w14:paraId="477150FB" w14:textId="77777777" w:rsidR="004D5895" w:rsidRPr="004D0FC8" w:rsidRDefault="004D5895" w:rsidP="004D0FC8">
    <w:pPr>
      <w:pStyle w:val="Piedepgina"/>
    </w:pPr>
  </w:p>
  <w:bookmarkEnd w:id="5"/>
  <w:bookmarkEnd w:i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4290"/>
      <w:gridCol w:w="237"/>
      <w:gridCol w:w="3977"/>
    </w:tblGrid>
    <w:tr w:rsidR="00A1550C" w:rsidRPr="00420B34" w14:paraId="77B67832" w14:textId="77777777" w:rsidTr="00EA6B27">
      <w:tc>
        <w:tcPr>
          <w:tcW w:w="2401" w:type="pct"/>
        </w:tcPr>
        <w:p w14:paraId="00522D17" w14:textId="77777777" w:rsidR="00322A28" w:rsidRDefault="00A1550C" w:rsidP="00322A28">
          <w:pPr>
            <w:pStyle w:val="Piedepgina"/>
            <w:jc w:val="both"/>
            <w:rPr>
              <w:rFonts w:ascii="Times New Roman" w:hAnsi="Times New Roman"/>
              <w:b/>
            </w:rPr>
          </w:pPr>
          <w:r w:rsidRPr="00307AA5">
            <w:rPr>
              <w:rFonts w:ascii="Times New Roman" w:hAnsi="Times New Roman"/>
              <w:b/>
            </w:rPr>
            <w:t xml:space="preserve">Como citar                                                               </w:t>
          </w:r>
        </w:p>
        <w:p w14:paraId="446EF5CC" w14:textId="32C07682" w:rsidR="00A1550C" w:rsidRPr="00307AA5" w:rsidRDefault="00A1550C" w:rsidP="00322A28">
          <w:pPr>
            <w:pStyle w:val="Piedepgina"/>
            <w:jc w:val="both"/>
            <w:rPr>
              <w:rFonts w:ascii="Times New Roman" w:hAnsi="Times New Roman"/>
              <w:caps/>
              <w:color w:val="4472C4" w:themeColor="accent1"/>
            </w:rPr>
          </w:pPr>
          <w:r w:rsidRPr="00307AA5">
            <w:rPr>
              <w:rFonts w:ascii="Times New Roman" w:hAnsi="Times New Roman"/>
            </w:rPr>
            <w:t xml:space="preserve">Villalobos, J. A. (2025). Gestión educativa y reconocimiento oficial de estudios superiores en México: validez de estudios, titulación y cédulas profesionales (2024). </w:t>
          </w:r>
          <w:r w:rsidR="00322A28" w:rsidRPr="00322A28">
            <w:rPr>
              <w:rFonts w:ascii="Times New Roman" w:hAnsi="Times New Roman"/>
              <w:i/>
            </w:rPr>
            <w:t>Revista</w:t>
          </w:r>
          <w:r w:rsidR="00322A28">
            <w:rPr>
              <w:rFonts w:ascii="Times New Roman" w:hAnsi="Times New Roman"/>
            </w:rPr>
            <w:t xml:space="preserve"> </w:t>
          </w:r>
          <w:r w:rsidRPr="00307AA5">
            <w:rPr>
              <w:rFonts w:ascii="Times New Roman" w:hAnsi="Times New Roman"/>
              <w:i/>
            </w:rPr>
            <w:t>EDUCA UMCH</w:t>
          </w:r>
          <w:r w:rsidRPr="00307AA5">
            <w:rPr>
              <w:rFonts w:ascii="Times New Roman" w:hAnsi="Times New Roman"/>
            </w:rPr>
            <w:t xml:space="preserve">, (26), </w:t>
          </w:r>
          <w:r w:rsidR="00322A28">
            <w:rPr>
              <w:rFonts w:ascii="Times New Roman" w:hAnsi="Times New Roman"/>
            </w:rPr>
            <w:t>90</w:t>
          </w:r>
          <w:r w:rsidR="006D5957" w:rsidRPr="00307AA5">
            <w:rPr>
              <w:rFonts w:ascii="Times New Roman" w:hAnsi="Times New Roman"/>
            </w:rPr>
            <w:t>-</w:t>
          </w:r>
          <w:r w:rsidRPr="00307AA5">
            <w:rPr>
              <w:rFonts w:ascii="Times New Roman" w:hAnsi="Times New Roman"/>
            </w:rPr>
            <w:t>1</w:t>
          </w:r>
          <w:r w:rsidR="004D0FC8">
            <w:rPr>
              <w:rFonts w:ascii="Times New Roman" w:hAnsi="Times New Roman"/>
            </w:rPr>
            <w:t>1</w:t>
          </w:r>
          <w:r w:rsidR="00245A60">
            <w:rPr>
              <w:rFonts w:ascii="Times New Roman" w:hAnsi="Times New Roman"/>
            </w:rPr>
            <w:t>0</w:t>
          </w:r>
          <w:r w:rsidRPr="00307AA5">
            <w:rPr>
              <w:rFonts w:ascii="Times New Roman" w:hAnsi="Times New Roman"/>
            </w:rPr>
            <w:t>. https://doi.org/10.35756/educaumc</w:t>
          </w:r>
          <w:hyperlink r:id="rId1">
            <w:r w:rsidRPr="00307AA5">
              <w:rPr>
                <w:rFonts w:ascii="Times New Roman" w:hAnsi="Times New Roman"/>
              </w:rPr>
              <w:t>h</w:t>
            </w:r>
          </w:hyperlink>
          <w:r w:rsidRPr="00307AA5">
            <w:rPr>
              <w:rFonts w:ascii="Times New Roman" w:hAnsi="Times New Roman"/>
            </w:rPr>
            <w:t>.202526.339</w:t>
          </w:r>
        </w:p>
      </w:tc>
      <w:tc>
        <w:tcPr>
          <w:tcW w:w="200" w:type="pct"/>
        </w:tcPr>
        <w:p w14:paraId="6FD86ED2" w14:textId="77777777" w:rsidR="00A1550C" w:rsidRPr="00BD018A" w:rsidRDefault="00A1550C" w:rsidP="00A1550C">
          <w:pPr>
            <w:pStyle w:val="Piedepgina"/>
            <w:rPr>
              <w:caps/>
              <w:color w:val="4472C4" w:themeColor="accent1"/>
              <w:sz w:val="20"/>
              <w:szCs w:val="18"/>
            </w:rPr>
          </w:pPr>
        </w:p>
      </w:tc>
      <w:tc>
        <w:tcPr>
          <w:tcW w:w="2402" w:type="pct"/>
        </w:tcPr>
        <w:p w14:paraId="5D2054B7" w14:textId="1D853091" w:rsidR="00A1550C" w:rsidRPr="00420B34" w:rsidRDefault="00A1550C" w:rsidP="00A1550C">
          <w:pPr>
            <w:pStyle w:val="Piedepgina"/>
            <w:jc w:val="both"/>
            <w:rPr>
              <w:rFonts w:ascii="Times New Roman" w:hAnsi="Times New Roman"/>
              <w:sz w:val="24"/>
              <w:szCs w:val="24"/>
              <w:shd w:val="clear" w:color="auto" w:fill="FFFFFF"/>
              <w:lang w:val="es-PE"/>
            </w:rPr>
          </w:pPr>
          <w:r w:rsidRPr="00420B34">
            <w:rPr>
              <w:rFonts w:ascii="Times New Roman" w:hAnsi="Times New Roman"/>
              <w:sz w:val="24"/>
              <w:szCs w:val="24"/>
              <w:shd w:val="clear" w:color="auto" w:fill="FFFFFF"/>
              <w:lang w:val="es-PE"/>
            </w:rPr>
            <w:t xml:space="preserve">© Los autores.  Esta obra está bajo una Licencia Creative Commons Atribución 4.0 Internacional (CC - BY 4.0).  </w:t>
          </w:r>
        </w:p>
        <w:p w14:paraId="3C5ED602" w14:textId="19A4E652" w:rsidR="00A1550C" w:rsidRPr="00420B34" w:rsidRDefault="00307AA5" w:rsidP="00A1550C">
          <w:pPr>
            <w:pStyle w:val="Piedepgina"/>
            <w:tabs>
              <w:tab w:val="clear" w:pos="4252"/>
              <w:tab w:val="center" w:pos="4084"/>
            </w:tabs>
            <w:jc w:val="both"/>
            <w:rPr>
              <w:rFonts w:ascii="Times New Roman" w:hAnsi="Times New Roman"/>
              <w:caps/>
              <w:color w:val="4472C4" w:themeColor="accent1"/>
              <w:sz w:val="24"/>
              <w:szCs w:val="24"/>
              <w:lang w:val="es-PE"/>
            </w:rPr>
          </w:pPr>
          <w:r>
            <w:rPr>
              <w:rFonts w:ascii="Times New Roman" w:hAnsi="Times New Roman"/>
              <w:noProof/>
              <w:sz w:val="24"/>
              <w:szCs w:val="24"/>
              <w:shd w:val="clear" w:color="auto" w:fill="FFFFFF"/>
              <w14:ligatures w14:val="standardContextual"/>
            </w:rPr>
            <w:drawing>
              <wp:anchor distT="0" distB="0" distL="114300" distR="114300" simplePos="0" relativeHeight="251672576" behindDoc="1" locked="0" layoutInCell="1" allowOverlap="1" wp14:anchorId="2E2E1ED6" wp14:editId="59265393">
                <wp:simplePos x="0" y="0"/>
                <wp:positionH relativeFrom="column">
                  <wp:posOffset>1571625</wp:posOffset>
                </wp:positionH>
                <wp:positionV relativeFrom="paragraph">
                  <wp:posOffset>78105</wp:posOffset>
                </wp:positionV>
                <wp:extent cx="951865" cy="323215"/>
                <wp:effectExtent l="0" t="0" r="635" b="635"/>
                <wp:wrapTight wrapText="bothSides">
                  <wp:wrapPolygon edited="0">
                    <wp:start x="0" y="0"/>
                    <wp:lineTo x="0" y="20369"/>
                    <wp:lineTo x="21182" y="20369"/>
                    <wp:lineTo x="21182"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png"/>
                        <pic:cNvPicPr/>
                      </pic:nvPicPr>
                      <pic:blipFill>
                        <a:blip r:embed="rId2">
                          <a:extLst>
                            <a:ext uri="{28A0092B-C50C-407E-A947-70E740481C1C}">
                              <a14:useLocalDpi xmlns:a14="http://schemas.microsoft.com/office/drawing/2010/main" val="0"/>
                            </a:ext>
                          </a:extLst>
                        </a:blip>
                        <a:stretch>
                          <a:fillRect/>
                        </a:stretch>
                      </pic:blipFill>
                      <pic:spPr>
                        <a:xfrm>
                          <a:off x="0" y="0"/>
                          <a:ext cx="951865" cy="323215"/>
                        </a:xfrm>
                        <a:prstGeom prst="rect">
                          <a:avLst/>
                        </a:prstGeom>
                      </pic:spPr>
                    </pic:pic>
                  </a:graphicData>
                </a:graphic>
              </wp:anchor>
            </w:drawing>
          </w:r>
        </w:p>
        <w:p w14:paraId="1D44E94A" w14:textId="77777777" w:rsidR="00A1550C" w:rsidRPr="00420B34" w:rsidRDefault="00A1550C" w:rsidP="00A1550C">
          <w:pPr>
            <w:pStyle w:val="Piedepgina"/>
            <w:jc w:val="both"/>
            <w:rPr>
              <w:rFonts w:ascii="Times New Roman" w:hAnsi="Times New Roman"/>
              <w:caps/>
              <w:color w:val="4472C4" w:themeColor="accent1"/>
              <w:sz w:val="24"/>
              <w:szCs w:val="24"/>
              <w:lang w:val="es-PE"/>
            </w:rPr>
          </w:pPr>
        </w:p>
      </w:tc>
    </w:tr>
  </w:tbl>
  <w:p w14:paraId="382FA545" w14:textId="0C938FC7" w:rsidR="00CB0D27" w:rsidRDefault="00307AA5">
    <w:pPr>
      <w:pStyle w:val="Piedepgina"/>
    </w:pPr>
    <w:r>
      <w:rPr>
        <w:noProof/>
      </w:rPr>
      <mc:AlternateContent>
        <mc:Choice Requires="wps">
          <w:drawing>
            <wp:anchor distT="0" distB="0" distL="114300" distR="114300" simplePos="0" relativeHeight="251685888" behindDoc="0" locked="0" layoutInCell="1" allowOverlap="1" wp14:anchorId="2ECF54CA" wp14:editId="5C43D97D">
              <wp:simplePos x="0" y="0"/>
              <wp:positionH relativeFrom="column">
                <wp:posOffset>-43180</wp:posOffset>
              </wp:positionH>
              <wp:positionV relativeFrom="paragraph">
                <wp:posOffset>-1130300</wp:posOffset>
              </wp:positionV>
              <wp:extent cx="253365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25336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1121FB53" id="Conector recto 5"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3.4pt,-89pt" to="196.1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20172" w14:textId="77777777" w:rsidR="008A2B70" w:rsidRDefault="008A2B70" w:rsidP="00F0076B">
      <w:pPr>
        <w:spacing w:line="240" w:lineRule="auto"/>
      </w:pPr>
      <w:r>
        <w:separator/>
      </w:r>
    </w:p>
  </w:footnote>
  <w:footnote w:type="continuationSeparator" w:id="0">
    <w:p w14:paraId="0F8636B3" w14:textId="77777777" w:rsidR="008A2B70" w:rsidRDefault="008A2B70" w:rsidP="00F007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04C3C" w14:textId="15EBB933" w:rsidR="004D5895" w:rsidRDefault="004D0FC8" w:rsidP="004D0FC8">
    <w:pPr>
      <w:shd w:val="clear" w:color="auto" w:fill="FFFFFF"/>
      <w:spacing w:line="240" w:lineRule="auto"/>
      <w:jc w:val="center"/>
      <w:rPr>
        <w:rFonts w:ascii="Times New Roman" w:eastAsia="Times New Roman" w:hAnsi="Times New Roman"/>
        <w:bCs/>
        <w:sz w:val="20"/>
        <w:szCs w:val="21"/>
        <w:lang w:val="es-PE" w:eastAsia="es-PE"/>
      </w:rPr>
    </w:pPr>
    <w:r>
      <w:rPr>
        <w:rFonts w:ascii="Times New Roman" w:eastAsia="Times New Roman" w:hAnsi="Times New Roman"/>
        <w:bCs/>
        <w:noProof/>
        <w:sz w:val="20"/>
        <w:szCs w:val="21"/>
        <w:lang w:val="es-PE" w:eastAsia="es-PE"/>
      </w:rPr>
      <mc:AlternateContent>
        <mc:Choice Requires="wps">
          <w:drawing>
            <wp:anchor distT="0" distB="0" distL="114300" distR="114300" simplePos="0" relativeHeight="251694080" behindDoc="0" locked="0" layoutInCell="1" allowOverlap="1" wp14:anchorId="0E4CDCFC" wp14:editId="35C65D08">
              <wp:simplePos x="0" y="0"/>
              <wp:positionH relativeFrom="column">
                <wp:posOffset>-38450</wp:posOffset>
              </wp:positionH>
              <wp:positionV relativeFrom="paragraph">
                <wp:posOffset>297180</wp:posOffset>
              </wp:positionV>
              <wp:extent cx="5419725" cy="0"/>
              <wp:effectExtent l="9525" t="9525" r="9525" b="952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97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29AEFE18" id="_x0000_t32" coordsize="21600,21600" o:spt="32" o:oned="t" path="m,l21600,21600e" filled="f">
              <v:path arrowok="t" fillok="f" o:connecttype="none"/>
              <o:lock v:ext="edit" shapetype="t"/>
            </v:shapetype>
            <v:shape id="AutoShape 5" o:spid="_x0000_s1026" type="#_x0000_t32" style="position:absolute;margin-left:-3.05pt;margin-top:23.4pt;width:426.7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"/>
          </w:pict>
        </mc:Fallback>
      </mc:AlternateContent>
    </w:r>
    <w:r w:rsidRPr="00CB0D27">
      <w:rPr>
        <w:rFonts w:ascii="Times New Roman" w:hAnsi="Times New Roman"/>
        <w:bCs/>
        <w:sz w:val="20"/>
        <w:szCs w:val="24"/>
      </w:rPr>
      <w:t>Registros de validez oficial de estudios (RVOE), cédulas profesionales federales y estatales en México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4B44" w14:textId="77777777" w:rsidR="00F66A62" w:rsidRDefault="00F66A62" w:rsidP="00F66A62">
    <w:pPr>
      <w:shd w:val="clear" w:color="auto" w:fill="FFFFFF"/>
      <w:spacing w:line="240" w:lineRule="auto"/>
      <w:jc w:val="center"/>
      <w:rPr>
        <w:rFonts w:ascii="Times New Roman" w:eastAsia="Times New Roman" w:hAnsi="Times New Roman"/>
        <w:bCs/>
        <w:sz w:val="20"/>
        <w:szCs w:val="21"/>
        <w:lang w:val="es-PE" w:eastAsia="es-PE"/>
      </w:rPr>
    </w:pPr>
  </w:p>
  <w:p w14:paraId="675ACFA3" w14:textId="77777777" w:rsidR="004D0FC8" w:rsidRPr="00F66A62" w:rsidRDefault="004D0FC8" w:rsidP="004D0FC8">
    <w:pPr>
      <w:spacing w:line="240" w:lineRule="auto"/>
      <w:jc w:val="center"/>
      <w:rPr>
        <w:rFonts w:ascii="Times New Roman" w:hAnsi="Times New Roman"/>
        <w:sz w:val="18"/>
      </w:rPr>
    </w:pPr>
    <w:r>
      <w:rPr>
        <w:rFonts w:ascii="Times New Roman" w:hAnsi="Times New Roman"/>
        <w:bCs/>
        <w:noProof/>
        <w:sz w:val="20"/>
        <w:szCs w:val="24"/>
      </w:rPr>
      <mc:AlternateContent>
        <mc:Choice Requires="wps">
          <w:drawing>
            <wp:anchor distT="0" distB="0" distL="114300" distR="114300" simplePos="0" relativeHeight="251692032" behindDoc="0" locked="0" layoutInCell="1" allowOverlap="1" wp14:anchorId="21DC9DA6" wp14:editId="27989F54">
              <wp:simplePos x="0" y="0"/>
              <wp:positionH relativeFrom="column">
                <wp:posOffset>-26538</wp:posOffset>
              </wp:positionH>
              <wp:positionV relativeFrom="paragraph">
                <wp:posOffset>180332</wp:posOffset>
              </wp:positionV>
              <wp:extent cx="5695950" cy="9525"/>
              <wp:effectExtent l="9525" t="9525" r="9525"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73B727EC" id="_x0000_t32" coordsize="21600,21600" o:spt="32" o:oned="t" path="m,l21600,21600e" filled="f">
              <v:path arrowok="t" fillok="f" o:connecttype="none"/>
              <o:lock v:ext="edit" shapetype="t"/>
            </v:shapetype>
            <v:shape id="AutoShape 7" o:spid="_x0000_s1026" type="#_x0000_t32" style="position:absolute;margin-left:-2.1pt;margin-top:14.2pt;width:448.5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"/>
          </w:pict>
        </mc:Fallback>
      </mc:AlternateContent>
    </w:r>
    <w:r w:rsidRPr="00CB0D27">
      <w:rPr>
        <w:rFonts w:ascii="Times New Roman" w:eastAsia="Times New Roman" w:hAnsi="Times New Roman"/>
        <w:bCs/>
        <w:sz w:val="20"/>
        <w:szCs w:val="21"/>
        <w:lang w:val="es-PE" w:eastAsia="es-PE"/>
      </w:rPr>
      <w:t>José Antonio Villalobos López</w:t>
    </w:r>
    <w:r>
      <w:rPr>
        <w:rFonts w:ascii="Times New Roman" w:hAnsi="Times New Roman"/>
        <w:bCs/>
        <w:noProof/>
        <w:sz w:val="20"/>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23EB"/>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2D60BE0"/>
    <w:multiLevelType w:val="hybridMultilevel"/>
    <w:tmpl w:val="8AAA243C"/>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AF3D3D"/>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64943D5"/>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6A466FE"/>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A1C02A9"/>
    <w:multiLevelType w:val="multilevel"/>
    <w:tmpl w:val="605E4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8D7928"/>
    <w:multiLevelType w:val="hybridMultilevel"/>
    <w:tmpl w:val="8CAC3280"/>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D371B2"/>
    <w:multiLevelType w:val="hybridMultilevel"/>
    <w:tmpl w:val="8364FD42"/>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3C23168"/>
    <w:multiLevelType w:val="multilevel"/>
    <w:tmpl w:val="F16C57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50C138A"/>
    <w:multiLevelType w:val="multilevel"/>
    <w:tmpl w:val="80E2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223FB"/>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EE91174"/>
    <w:multiLevelType w:val="hybridMultilevel"/>
    <w:tmpl w:val="875EAD2E"/>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F9F4899"/>
    <w:multiLevelType w:val="multilevel"/>
    <w:tmpl w:val="A4444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492B4C"/>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5143AAC"/>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5991B04"/>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6C33F4F"/>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AB35C42"/>
    <w:multiLevelType w:val="hybridMultilevel"/>
    <w:tmpl w:val="3690A6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217654"/>
    <w:multiLevelType w:val="multilevel"/>
    <w:tmpl w:val="81503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E397286"/>
    <w:multiLevelType w:val="hybridMultilevel"/>
    <w:tmpl w:val="9288F7B0"/>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F5C12AB"/>
    <w:multiLevelType w:val="hybridMultilevel"/>
    <w:tmpl w:val="DBD408BA"/>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1B64F84"/>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346A1418"/>
    <w:multiLevelType w:val="multilevel"/>
    <w:tmpl w:val="26F6E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830EBC"/>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3C054D91"/>
    <w:multiLevelType w:val="hybridMultilevel"/>
    <w:tmpl w:val="045E02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DD14E20"/>
    <w:multiLevelType w:val="hybridMultilevel"/>
    <w:tmpl w:val="E8BC0C40"/>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DE169ED"/>
    <w:multiLevelType w:val="hybridMultilevel"/>
    <w:tmpl w:val="05E47D64"/>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4EE725B"/>
    <w:multiLevelType w:val="hybridMultilevel"/>
    <w:tmpl w:val="78ACD352"/>
    <w:lvl w:ilvl="0" w:tplc="425E8A4E">
      <w:numFmt w:val="bullet"/>
      <w:lvlText w:val=""/>
      <w:lvlJc w:val="left"/>
      <w:pPr>
        <w:ind w:left="644" w:hanging="360"/>
      </w:pPr>
      <w:rPr>
        <w:rFonts w:ascii="Symbol" w:eastAsia="Calibri" w:hAnsi="Symbol" w:cs="Times New Roman"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28" w15:restartNumberingAfterBreak="0">
    <w:nsid w:val="55F71EA2"/>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594F6CFA"/>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5BD007F3"/>
    <w:multiLevelType w:val="hybridMultilevel"/>
    <w:tmpl w:val="890615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BE7534"/>
    <w:multiLevelType w:val="multilevel"/>
    <w:tmpl w:val="3E640F6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63BC01F3"/>
    <w:multiLevelType w:val="hybridMultilevel"/>
    <w:tmpl w:val="0B1460C2"/>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9CF7B05"/>
    <w:multiLevelType w:val="hybridMultilevel"/>
    <w:tmpl w:val="837EFD5E"/>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16696479">
    <w:abstractNumId w:val="18"/>
  </w:num>
  <w:num w:numId="2" w16cid:durableId="1598978829">
    <w:abstractNumId w:val="8"/>
  </w:num>
  <w:num w:numId="3" w16cid:durableId="1129516412">
    <w:abstractNumId w:val="27"/>
  </w:num>
  <w:num w:numId="4" w16cid:durableId="911744426">
    <w:abstractNumId w:val="10"/>
  </w:num>
  <w:num w:numId="5" w16cid:durableId="110559877">
    <w:abstractNumId w:val="17"/>
  </w:num>
  <w:num w:numId="6" w16cid:durableId="1315061754">
    <w:abstractNumId w:val="30"/>
  </w:num>
  <w:num w:numId="7" w16cid:durableId="1655797540">
    <w:abstractNumId w:val="14"/>
  </w:num>
  <w:num w:numId="8" w16cid:durableId="500240922">
    <w:abstractNumId w:val="28"/>
  </w:num>
  <w:num w:numId="9" w16cid:durableId="272178749">
    <w:abstractNumId w:val="21"/>
  </w:num>
  <w:num w:numId="10" w16cid:durableId="1860965857">
    <w:abstractNumId w:val="23"/>
  </w:num>
  <w:num w:numId="11" w16cid:durableId="1929383263">
    <w:abstractNumId w:val="15"/>
  </w:num>
  <w:num w:numId="12" w16cid:durableId="1935044800">
    <w:abstractNumId w:val="29"/>
  </w:num>
  <w:num w:numId="13" w16cid:durableId="692267124">
    <w:abstractNumId w:val="2"/>
  </w:num>
  <w:num w:numId="14" w16cid:durableId="1693797950">
    <w:abstractNumId w:val="3"/>
  </w:num>
  <w:num w:numId="15" w16cid:durableId="1387222410">
    <w:abstractNumId w:val="13"/>
  </w:num>
  <w:num w:numId="16" w16cid:durableId="1404377596">
    <w:abstractNumId w:val="31"/>
  </w:num>
  <w:num w:numId="17" w16cid:durableId="1559591083">
    <w:abstractNumId w:val="0"/>
  </w:num>
  <w:num w:numId="18" w16cid:durableId="199361880">
    <w:abstractNumId w:val="16"/>
  </w:num>
  <w:num w:numId="19" w16cid:durableId="1424448465">
    <w:abstractNumId w:val="26"/>
  </w:num>
  <w:num w:numId="20" w16cid:durableId="1776293417">
    <w:abstractNumId w:val="11"/>
  </w:num>
  <w:num w:numId="21" w16cid:durableId="11614553">
    <w:abstractNumId w:val="25"/>
  </w:num>
  <w:num w:numId="22" w16cid:durableId="1964647708">
    <w:abstractNumId w:val="33"/>
  </w:num>
  <w:num w:numId="23" w16cid:durableId="1653021741">
    <w:abstractNumId w:val="20"/>
  </w:num>
  <w:num w:numId="24" w16cid:durableId="1720278496">
    <w:abstractNumId w:val="32"/>
  </w:num>
  <w:num w:numId="25" w16cid:durableId="109397202">
    <w:abstractNumId w:val="1"/>
  </w:num>
  <w:num w:numId="26" w16cid:durableId="1414085373">
    <w:abstractNumId w:val="6"/>
  </w:num>
  <w:num w:numId="27" w16cid:durableId="420563932">
    <w:abstractNumId w:val="24"/>
  </w:num>
  <w:num w:numId="28" w16cid:durableId="563755340">
    <w:abstractNumId w:val="4"/>
  </w:num>
  <w:num w:numId="29" w16cid:durableId="1771198738">
    <w:abstractNumId w:val="9"/>
  </w:num>
  <w:num w:numId="30" w16cid:durableId="1444954785">
    <w:abstractNumId w:val="5"/>
  </w:num>
  <w:num w:numId="31" w16cid:durableId="747464236">
    <w:abstractNumId w:val="22"/>
  </w:num>
  <w:num w:numId="32" w16cid:durableId="2025471028">
    <w:abstractNumId w:val="12"/>
  </w:num>
  <w:num w:numId="33" w16cid:durableId="831212560">
    <w:abstractNumId w:val="7"/>
  </w:num>
  <w:num w:numId="34" w16cid:durableId="14352512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93"/>
    <w:rsid w:val="00002A23"/>
    <w:rsid w:val="00003A0D"/>
    <w:rsid w:val="000045F7"/>
    <w:rsid w:val="00011927"/>
    <w:rsid w:val="00011D89"/>
    <w:rsid w:val="00012D31"/>
    <w:rsid w:val="00013998"/>
    <w:rsid w:val="00013D94"/>
    <w:rsid w:val="000146F0"/>
    <w:rsid w:val="000155EC"/>
    <w:rsid w:val="00017C2C"/>
    <w:rsid w:val="00023EF7"/>
    <w:rsid w:val="00026234"/>
    <w:rsid w:val="0003244D"/>
    <w:rsid w:val="00033D21"/>
    <w:rsid w:val="00040B4D"/>
    <w:rsid w:val="0004362B"/>
    <w:rsid w:val="00043AAF"/>
    <w:rsid w:val="000463FE"/>
    <w:rsid w:val="000464B6"/>
    <w:rsid w:val="000517E2"/>
    <w:rsid w:val="00053504"/>
    <w:rsid w:val="00053B53"/>
    <w:rsid w:val="0006322E"/>
    <w:rsid w:val="00064BAF"/>
    <w:rsid w:val="0006614D"/>
    <w:rsid w:val="000662B2"/>
    <w:rsid w:val="00067C9A"/>
    <w:rsid w:val="00074C7B"/>
    <w:rsid w:val="00076E44"/>
    <w:rsid w:val="00077C74"/>
    <w:rsid w:val="0008227D"/>
    <w:rsid w:val="00082D6A"/>
    <w:rsid w:val="00083A73"/>
    <w:rsid w:val="000908A6"/>
    <w:rsid w:val="00094FDF"/>
    <w:rsid w:val="00095015"/>
    <w:rsid w:val="00097D6E"/>
    <w:rsid w:val="000A07C4"/>
    <w:rsid w:val="000A11A1"/>
    <w:rsid w:val="000A507C"/>
    <w:rsid w:val="000B164F"/>
    <w:rsid w:val="000B39D7"/>
    <w:rsid w:val="000B3F6D"/>
    <w:rsid w:val="000C0A64"/>
    <w:rsid w:val="000C2352"/>
    <w:rsid w:val="000C585D"/>
    <w:rsid w:val="000C5915"/>
    <w:rsid w:val="000C7911"/>
    <w:rsid w:val="000D1712"/>
    <w:rsid w:val="000D6CB2"/>
    <w:rsid w:val="000D7E00"/>
    <w:rsid w:val="000E35C4"/>
    <w:rsid w:val="000E36D0"/>
    <w:rsid w:val="000E3743"/>
    <w:rsid w:val="000E3AB0"/>
    <w:rsid w:val="000E3B93"/>
    <w:rsid w:val="000E4737"/>
    <w:rsid w:val="000E5206"/>
    <w:rsid w:val="000E563F"/>
    <w:rsid w:val="000E5865"/>
    <w:rsid w:val="000E751D"/>
    <w:rsid w:val="000F110B"/>
    <w:rsid w:val="000F14A7"/>
    <w:rsid w:val="000F15DA"/>
    <w:rsid w:val="000F3F7E"/>
    <w:rsid w:val="000F3FA1"/>
    <w:rsid w:val="000F51B8"/>
    <w:rsid w:val="000F5211"/>
    <w:rsid w:val="00100B06"/>
    <w:rsid w:val="00101F49"/>
    <w:rsid w:val="001033B5"/>
    <w:rsid w:val="00103775"/>
    <w:rsid w:val="001044B4"/>
    <w:rsid w:val="00104E1C"/>
    <w:rsid w:val="00105CDC"/>
    <w:rsid w:val="001126E1"/>
    <w:rsid w:val="00114DAE"/>
    <w:rsid w:val="001166DF"/>
    <w:rsid w:val="001168EE"/>
    <w:rsid w:val="0012291C"/>
    <w:rsid w:val="001255AF"/>
    <w:rsid w:val="00130D55"/>
    <w:rsid w:val="00132F76"/>
    <w:rsid w:val="00136DAE"/>
    <w:rsid w:val="00137DAB"/>
    <w:rsid w:val="00140632"/>
    <w:rsid w:val="00140F47"/>
    <w:rsid w:val="0014225A"/>
    <w:rsid w:val="00145069"/>
    <w:rsid w:val="00146E67"/>
    <w:rsid w:val="00146F2D"/>
    <w:rsid w:val="0015144C"/>
    <w:rsid w:val="001533EE"/>
    <w:rsid w:val="001558E5"/>
    <w:rsid w:val="0015701D"/>
    <w:rsid w:val="0016080A"/>
    <w:rsid w:val="0016087E"/>
    <w:rsid w:val="00160DAF"/>
    <w:rsid w:val="001611EB"/>
    <w:rsid w:val="00161832"/>
    <w:rsid w:val="001625F1"/>
    <w:rsid w:val="00166FBF"/>
    <w:rsid w:val="00167EFE"/>
    <w:rsid w:val="00174F13"/>
    <w:rsid w:val="001778F9"/>
    <w:rsid w:val="0018071F"/>
    <w:rsid w:val="001808A2"/>
    <w:rsid w:val="00180BA0"/>
    <w:rsid w:val="0018241A"/>
    <w:rsid w:val="00183677"/>
    <w:rsid w:val="00185B57"/>
    <w:rsid w:val="00185EC1"/>
    <w:rsid w:val="00186F59"/>
    <w:rsid w:val="001906FF"/>
    <w:rsid w:val="00191CC2"/>
    <w:rsid w:val="00193535"/>
    <w:rsid w:val="00194AD4"/>
    <w:rsid w:val="00197FF0"/>
    <w:rsid w:val="001A0324"/>
    <w:rsid w:val="001A0327"/>
    <w:rsid w:val="001A163E"/>
    <w:rsid w:val="001A1B82"/>
    <w:rsid w:val="001A29D6"/>
    <w:rsid w:val="001A3258"/>
    <w:rsid w:val="001A5B85"/>
    <w:rsid w:val="001B366C"/>
    <w:rsid w:val="001B3AE5"/>
    <w:rsid w:val="001B4AB8"/>
    <w:rsid w:val="001B4E33"/>
    <w:rsid w:val="001C30CE"/>
    <w:rsid w:val="001C5E21"/>
    <w:rsid w:val="001C61C2"/>
    <w:rsid w:val="001D579A"/>
    <w:rsid w:val="001D60D5"/>
    <w:rsid w:val="001D7257"/>
    <w:rsid w:val="001D7824"/>
    <w:rsid w:val="001E01B9"/>
    <w:rsid w:val="001E52E3"/>
    <w:rsid w:val="001E67B3"/>
    <w:rsid w:val="001E6F5D"/>
    <w:rsid w:val="001E7084"/>
    <w:rsid w:val="001E7EA3"/>
    <w:rsid w:val="001F109A"/>
    <w:rsid w:val="001F1A78"/>
    <w:rsid w:val="001F29DC"/>
    <w:rsid w:val="001F2C32"/>
    <w:rsid w:val="001F5F39"/>
    <w:rsid w:val="002004A9"/>
    <w:rsid w:val="00200C7B"/>
    <w:rsid w:val="002010B9"/>
    <w:rsid w:val="0020247B"/>
    <w:rsid w:val="00204A18"/>
    <w:rsid w:val="002054ED"/>
    <w:rsid w:val="00205902"/>
    <w:rsid w:val="00205F5F"/>
    <w:rsid w:val="00207107"/>
    <w:rsid w:val="00211471"/>
    <w:rsid w:val="002124A3"/>
    <w:rsid w:val="00212A86"/>
    <w:rsid w:val="00213647"/>
    <w:rsid w:val="00216225"/>
    <w:rsid w:val="00221AA8"/>
    <w:rsid w:val="002225D3"/>
    <w:rsid w:val="002228D8"/>
    <w:rsid w:val="00223BFC"/>
    <w:rsid w:val="0022499E"/>
    <w:rsid w:val="0022519A"/>
    <w:rsid w:val="00236B84"/>
    <w:rsid w:val="002373A0"/>
    <w:rsid w:val="00240DCE"/>
    <w:rsid w:val="00240E50"/>
    <w:rsid w:val="00243161"/>
    <w:rsid w:val="00243943"/>
    <w:rsid w:val="00243B98"/>
    <w:rsid w:val="0024414E"/>
    <w:rsid w:val="002452D0"/>
    <w:rsid w:val="00245A60"/>
    <w:rsid w:val="00246698"/>
    <w:rsid w:val="00246D36"/>
    <w:rsid w:val="00250D4D"/>
    <w:rsid w:val="002515ED"/>
    <w:rsid w:val="0025266A"/>
    <w:rsid w:val="00255A4C"/>
    <w:rsid w:val="00257477"/>
    <w:rsid w:val="00257EA4"/>
    <w:rsid w:val="002601FB"/>
    <w:rsid w:val="00261FAB"/>
    <w:rsid w:val="00264447"/>
    <w:rsid w:val="00270E06"/>
    <w:rsid w:val="002747E8"/>
    <w:rsid w:val="00276E4B"/>
    <w:rsid w:val="002770DB"/>
    <w:rsid w:val="00277D8C"/>
    <w:rsid w:val="00282525"/>
    <w:rsid w:val="00282541"/>
    <w:rsid w:val="002852BF"/>
    <w:rsid w:val="0028537A"/>
    <w:rsid w:val="00287910"/>
    <w:rsid w:val="00287E52"/>
    <w:rsid w:val="002908F7"/>
    <w:rsid w:val="00291736"/>
    <w:rsid w:val="00291864"/>
    <w:rsid w:val="00295111"/>
    <w:rsid w:val="002A217F"/>
    <w:rsid w:val="002A365D"/>
    <w:rsid w:val="002A3D5E"/>
    <w:rsid w:val="002A3FF8"/>
    <w:rsid w:val="002A4511"/>
    <w:rsid w:val="002A4B4B"/>
    <w:rsid w:val="002A7173"/>
    <w:rsid w:val="002B1667"/>
    <w:rsid w:val="002B6080"/>
    <w:rsid w:val="002B6D82"/>
    <w:rsid w:val="002B6DEF"/>
    <w:rsid w:val="002C02DA"/>
    <w:rsid w:val="002C1007"/>
    <w:rsid w:val="002C1B10"/>
    <w:rsid w:val="002C308E"/>
    <w:rsid w:val="002C687A"/>
    <w:rsid w:val="002D1AFB"/>
    <w:rsid w:val="002D2298"/>
    <w:rsid w:val="002D22C1"/>
    <w:rsid w:val="002D46DD"/>
    <w:rsid w:val="002E1D03"/>
    <w:rsid w:val="002E2075"/>
    <w:rsid w:val="002E444D"/>
    <w:rsid w:val="002E6475"/>
    <w:rsid w:val="002E6569"/>
    <w:rsid w:val="002E6A6B"/>
    <w:rsid w:val="002E74FD"/>
    <w:rsid w:val="002E797F"/>
    <w:rsid w:val="002F346B"/>
    <w:rsid w:val="002F522C"/>
    <w:rsid w:val="002F58A7"/>
    <w:rsid w:val="002F62BC"/>
    <w:rsid w:val="002F72CE"/>
    <w:rsid w:val="002F7BE3"/>
    <w:rsid w:val="00302625"/>
    <w:rsid w:val="00302EE2"/>
    <w:rsid w:val="00303527"/>
    <w:rsid w:val="003047D7"/>
    <w:rsid w:val="003051E3"/>
    <w:rsid w:val="0030545B"/>
    <w:rsid w:val="00306C98"/>
    <w:rsid w:val="00306EBD"/>
    <w:rsid w:val="00306EEE"/>
    <w:rsid w:val="003076C6"/>
    <w:rsid w:val="00307AA5"/>
    <w:rsid w:val="003107A2"/>
    <w:rsid w:val="00311635"/>
    <w:rsid w:val="003122CB"/>
    <w:rsid w:val="00312BFB"/>
    <w:rsid w:val="003165CA"/>
    <w:rsid w:val="00316F28"/>
    <w:rsid w:val="003216AA"/>
    <w:rsid w:val="00322A28"/>
    <w:rsid w:val="00323B46"/>
    <w:rsid w:val="00325F43"/>
    <w:rsid w:val="003308FA"/>
    <w:rsid w:val="00332012"/>
    <w:rsid w:val="003330C0"/>
    <w:rsid w:val="00333D15"/>
    <w:rsid w:val="00333FE6"/>
    <w:rsid w:val="003353FB"/>
    <w:rsid w:val="0034082E"/>
    <w:rsid w:val="00340B5D"/>
    <w:rsid w:val="003414C3"/>
    <w:rsid w:val="00344BDB"/>
    <w:rsid w:val="00345751"/>
    <w:rsid w:val="00351D21"/>
    <w:rsid w:val="00355B03"/>
    <w:rsid w:val="00356516"/>
    <w:rsid w:val="00356FDD"/>
    <w:rsid w:val="0036125F"/>
    <w:rsid w:val="00361B36"/>
    <w:rsid w:val="00362592"/>
    <w:rsid w:val="00367AC2"/>
    <w:rsid w:val="00372438"/>
    <w:rsid w:val="00373098"/>
    <w:rsid w:val="00373DEC"/>
    <w:rsid w:val="00375833"/>
    <w:rsid w:val="00375ED6"/>
    <w:rsid w:val="003766D5"/>
    <w:rsid w:val="0038014D"/>
    <w:rsid w:val="003858B8"/>
    <w:rsid w:val="0039294D"/>
    <w:rsid w:val="00394DE0"/>
    <w:rsid w:val="00397A06"/>
    <w:rsid w:val="00397A4D"/>
    <w:rsid w:val="003A3F65"/>
    <w:rsid w:val="003A5889"/>
    <w:rsid w:val="003A6E42"/>
    <w:rsid w:val="003A6EFA"/>
    <w:rsid w:val="003B27CE"/>
    <w:rsid w:val="003B7832"/>
    <w:rsid w:val="003C02CC"/>
    <w:rsid w:val="003C3372"/>
    <w:rsid w:val="003D232D"/>
    <w:rsid w:val="003D2A78"/>
    <w:rsid w:val="003D3EE0"/>
    <w:rsid w:val="003D422F"/>
    <w:rsid w:val="003E1DAF"/>
    <w:rsid w:val="003E2548"/>
    <w:rsid w:val="003E52D3"/>
    <w:rsid w:val="003E75DA"/>
    <w:rsid w:val="003E7D43"/>
    <w:rsid w:val="003F2C57"/>
    <w:rsid w:val="003F2ED7"/>
    <w:rsid w:val="003F4B1F"/>
    <w:rsid w:val="003F4C6F"/>
    <w:rsid w:val="003F52E9"/>
    <w:rsid w:val="003F6F8B"/>
    <w:rsid w:val="004022BB"/>
    <w:rsid w:val="00402EE2"/>
    <w:rsid w:val="0040310D"/>
    <w:rsid w:val="00404F1C"/>
    <w:rsid w:val="00405436"/>
    <w:rsid w:val="00407CEF"/>
    <w:rsid w:val="00410166"/>
    <w:rsid w:val="0042121B"/>
    <w:rsid w:val="004212E9"/>
    <w:rsid w:val="0042251E"/>
    <w:rsid w:val="0042490B"/>
    <w:rsid w:val="00425847"/>
    <w:rsid w:val="0043055F"/>
    <w:rsid w:val="004311C6"/>
    <w:rsid w:val="00432B6E"/>
    <w:rsid w:val="00433086"/>
    <w:rsid w:val="00436674"/>
    <w:rsid w:val="00436C00"/>
    <w:rsid w:val="004371B0"/>
    <w:rsid w:val="004418BE"/>
    <w:rsid w:val="00443FA5"/>
    <w:rsid w:val="00445637"/>
    <w:rsid w:val="004506AF"/>
    <w:rsid w:val="00452117"/>
    <w:rsid w:val="00453036"/>
    <w:rsid w:val="004565A0"/>
    <w:rsid w:val="00462ED1"/>
    <w:rsid w:val="00462F06"/>
    <w:rsid w:val="004630E7"/>
    <w:rsid w:val="00463B8A"/>
    <w:rsid w:val="00464304"/>
    <w:rsid w:val="0046667A"/>
    <w:rsid w:val="0047180B"/>
    <w:rsid w:val="0047188C"/>
    <w:rsid w:val="00472C48"/>
    <w:rsid w:val="00474634"/>
    <w:rsid w:val="00474C0B"/>
    <w:rsid w:val="0047630F"/>
    <w:rsid w:val="00477147"/>
    <w:rsid w:val="004779F1"/>
    <w:rsid w:val="0048164D"/>
    <w:rsid w:val="00484704"/>
    <w:rsid w:val="00485466"/>
    <w:rsid w:val="00486055"/>
    <w:rsid w:val="004906E3"/>
    <w:rsid w:val="0049120A"/>
    <w:rsid w:val="00491A9E"/>
    <w:rsid w:val="0049351B"/>
    <w:rsid w:val="004937A2"/>
    <w:rsid w:val="004A001F"/>
    <w:rsid w:val="004A2B1C"/>
    <w:rsid w:val="004A2CF3"/>
    <w:rsid w:val="004A2FD4"/>
    <w:rsid w:val="004A32DC"/>
    <w:rsid w:val="004A48CD"/>
    <w:rsid w:val="004A6C81"/>
    <w:rsid w:val="004A6DFE"/>
    <w:rsid w:val="004A70AF"/>
    <w:rsid w:val="004B2F98"/>
    <w:rsid w:val="004B3C3B"/>
    <w:rsid w:val="004B50CD"/>
    <w:rsid w:val="004B6323"/>
    <w:rsid w:val="004B6BF6"/>
    <w:rsid w:val="004C1D2C"/>
    <w:rsid w:val="004C2A4C"/>
    <w:rsid w:val="004C662E"/>
    <w:rsid w:val="004C6D07"/>
    <w:rsid w:val="004D0693"/>
    <w:rsid w:val="004D0FC8"/>
    <w:rsid w:val="004D1C37"/>
    <w:rsid w:val="004D4F64"/>
    <w:rsid w:val="004D5895"/>
    <w:rsid w:val="004D5C18"/>
    <w:rsid w:val="004D6A31"/>
    <w:rsid w:val="004E0597"/>
    <w:rsid w:val="004E7822"/>
    <w:rsid w:val="004F185B"/>
    <w:rsid w:val="004F2223"/>
    <w:rsid w:val="004F7610"/>
    <w:rsid w:val="00501014"/>
    <w:rsid w:val="00503B17"/>
    <w:rsid w:val="00505BB8"/>
    <w:rsid w:val="00505F41"/>
    <w:rsid w:val="00510A6C"/>
    <w:rsid w:val="00510E61"/>
    <w:rsid w:val="00512657"/>
    <w:rsid w:val="005129D0"/>
    <w:rsid w:val="00515CB8"/>
    <w:rsid w:val="0051691D"/>
    <w:rsid w:val="00520324"/>
    <w:rsid w:val="00520CDC"/>
    <w:rsid w:val="00523C71"/>
    <w:rsid w:val="005302C1"/>
    <w:rsid w:val="005309C4"/>
    <w:rsid w:val="005329E1"/>
    <w:rsid w:val="00532DFD"/>
    <w:rsid w:val="0053321D"/>
    <w:rsid w:val="00534795"/>
    <w:rsid w:val="0053583A"/>
    <w:rsid w:val="005373BA"/>
    <w:rsid w:val="005404CB"/>
    <w:rsid w:val="00540A01"/>
    <w:rsid w:val="00540B01"/>
    <w:rsid w:val="0054308B"/>
    <w:rsid w:val="005452A6"/>
    <w:rsid w:val="00545C35"/>
    <w:rsid w:val="00546692"/>
    <w:rsid w:val="00551ACF"/>
    <w:rsid w:val="00551C01"/>
    <w:rsid w:val="00552100"/>
    <w:rsid w:val="005529B4"/>
    <w:rsid w:val="00552B4B"/>
    <w:rsid w:val="00552FF0"/>
    <w:rsid w:val="0055378F"/>
    <w:rsid w:val="00557563"/>
    <w:rsid w:val="00562FF8"/>
    <w:rsid w:val="0056748D"/>
    <w:rsid w:val="005701BE"/>
    <w:rsid w:val="00573598"/>
    <w:rsid w:val="005736AD"/>
    <w:rsid w:val="00573C47"/>
    <w:rsid w:val="005763A0"/>
    <w:rsid w:val="005778D1"/>
    <w:rsid w:val="00582243"/>
    <w:rsid w:val="00582433"/>
    <w:rsid w:val="00583964"/>
    <w:rsid w:val="00584CDE"/>
    <w:rsid w:val="00584F1A"/>
    <w:rsid w:val="00584F50"/>
    <w:rsid w:val="00585756"/>
    <w:rsid w:val="005874AE"/>
    <w:rsid w:val="00594EF6"/>
    <w:rsid w:val="005A1258"/>
    <w:rsid w:val="005A1B46"/>
    <w:rsid w:val="005A1E35"/>
    <w:rsid w:val="005A1EC7"/>
    <w:rsid w:val="005A3486"/>
    <w:rsid w:val="005A3DF8"/>
    <w:rsid w:val="005A4D02"/>
    <w:rsid w:val="005A5227"/>
    <w:rsid w:val="005A6A2E"/>
    <w:rsid w:val="005A6DBC"/>
    <w:rsid w:val="005B26A7"/>
    <w:rsid w:val="005B46D1"/>
    <w:rsid w:val="005C09BD"/>
    <w:rsid w:val="005C3A36"/>
    <w:rsid w:val="005C5437"/>
    <w:rsid w:val="005C59D1"/>
    <w:rsid w:val="005C6674"/>
    <w:rsid w:val="005C7339"/>
    <w:rsid w:val="005D1BDF"/>
    <w:rsid w:val="005D29FF"/>
    <w:rsid w:val="005D7D00"/>
    <w:rsid w:val="005E1CD3"/>
    <w:rsid w:val="005E46B4"/>
    <w:rsid w:val="005E4B30"/>
    <w:rsid w:val="005E7E8A"/>
    <w:rsid w:val="005F08D1"/>
    <w:rsid w:val="005F0EB6"/>
    <w:rsid w:val="005F18EB"/>
    <w:rsid w:val="005F20A1"/>
    <w:rsid w:val="005F4291"/>
    <w:rsid w:val="005F572C"/>
    <w:rsid w:val="005F69FB"/>
    <w:rsid w:val="00604AAC"/>
    <w:rsid w:val="00605828"/>
    <w:rsid w:val="00605DFB"/>
    <w:rsid w:val="00607863"/>
    <w:rsid w:val="00607895"/>
    <w:rsid w:val="00607907"/>
    <w:rsid w:val="00610E0E"/>
    <w:rsid w:val="00612FCB"/>
    <w:rsid w:val="00614824"/>
    <w:rsid w:val="00620781"/>
    <w:rsid w:val="0062108A"/>
    <w:rsid w:val="006221C7"/>
    <w:rsid w:val="0062527D"/>
    <w:rsid w:val="00632FFE"/>
    <w:rsid w:val="00644E54"/>
    <w:rsid w:val="00651C0A"/>
    <w:rsid w:val="00651F6D"/>
    <w:rsid w:val="0065471D"/>
    <w:rsid w:val="00656075"/>
    <w:rsid w:val="00657554"/>
    <w:rsid w:val="00660A0E"/>
    <w:rsid w:val="00660FEA"/>
    <w:rsid w:val="00663B0B"/>
    <w:rsid w:val="00664B65"/>
    <w:rsid w:val="006662E3"/>
    <w:rsid w:val="00666CCB"/>
    <w:rsid w:val="0066735E"/>
    <w:rsid w:val="006706B2"/>
    <w:rsid w:val="006748B8"/>
    <w:rsid w:val="00675605"/>
    <w:rsid w:val="00677067"/>
    <w:rsid w:val="006770AD"/>
    <w:rsid w:val="00680E48"/>
    <w:rsid w:val="00682334"/>
    <w:rsid w:val="00685B34"/>
    <w:rsid w:val="00690F42"/>
    <w:rsid w:val="00692C50"/>
    <w:rsid w:val="006948D3"/>
    <w:rsid w:val="0069745B"/>
    <w:rsid w:val="006A2B80"/>
    <w:rsid w:val="006A3976"/>
    <w:rsid w:val="006A3CB8"/>
    <w:rsid w:val="006B3A82"/>
    <w:rsid w:val="006B5218"/>
    <w:rsid w:val="006B57D4"/>
    <w:rsid w:val="006B67A8"/>
    <w:rsid w:val="006B7265"/>
    <w:rsid w:val="006C051F"/>
    <w:rsid w:val="006C352A"/>
    <w:rsid w:val="006C3800"/>
    <w:rsid w:val="006C4023"/>
    <w:rsid w:val="006C5268"/>
    <w:rsid w:val="006C74E9"/>
    <w:rsid w:val="006C7F0B"/>
    <w:rsid w:val="006D010F"/>
    <w:rsid w:val="006D1A8A"/>
    <w:rsid w:val="006D1D12"/>
    <w:rsid w:val="006D21F7"/>
    <w:rsid w:val="006D3007"/>
    <w:rsid w:val="006D3542"/>
    <w:rsid w:val="006D5957"/>
    <w:rsid w:val="006D5E55"/>
    <w:rsid w:val="006D5FDE"/>
    <w:rsid w:val="006D7B77"/>
    <w:rsid w:val="006E15FF"/>
    <w:rsid w:val="006E1BE5"/>
    <w:rsid w:val="006E3783"/>
    <w:rsid w:val="006E3A2F"/>
    <w:rsid w:val="006E498E"/>
    <w:rsid w:val="006E4B18"/>
    <w:rsid w:val="006E56A2"/>
    <w:rsid w:val="006E75C7"/>
    <w:rsid w:val="006F0479"/>
    <w:rsid w:val="006F1E3A"/>
    <w:rsid w:val="006F2D16"/>
    <w:rsid w:val="006F2E4E"/>
    <w:rsid w:val="006F2FB6"/>
    <w:rsid w:val="006F4809"/>
    <w:rsid w:val="006F5324"/>
    <w:rsid w:val="006F7483"/>
    <w:rsid w:val="006F7616"/>
    <w:rsid w:val="00700CAB"/>
    <w:rsid w:val="007010B5"/>
    <w:rsid w:val="0070126F"/>
    <w:rsid w:val="0070556F"/>
    <w:rsid w:val="00712C42"/>
    <w:rsid w:val="00712EC5"/>
    <w:rsid w:val="00713516"/>
    <w:rsid w:val="00714885"/>
    <w:rsid w:val="007221F5"/>
    <w:rsid w:val="00722544"/>
    <w:rsid w:val="007227A7"/>
    <w:rsid w:val="00723F19"/>
    <w:rsid w:val="0072474A"/>
    <w:rsid w:val="007269A0"/>
    <w:rsid w:val="0073270D"/>
    <w:rsid w:val="0073361B"/>
    <w:rsid w:val="00734BEF"/>
    <w:rsid w:val="007361E6"/>
    <w:rsid w:val="007379AA"/>
    <w:rsid w:val="00741B1B"/>
    <w:rsid w:val="00741E41"/>
    <w:rsid w:val="00743A61"/>
    <w:rsid w:val="007444A3"/>
    <w:rsid w:val="0074551D"/>
    <w:rsid w:val="0074573F"/>
    <w:rsid w:val="00746304"/>
    <w:rsid w:val="00752541"/>
    <w:rsid w:val="00752E88"/>
    <w:rsid w:val="00755B70"/>
    <w:rsid w:val="00757F6B"/>
    <w:rsid w:val="00761A00"/>
    <w:rsid w:val="00761CF1"/>
    <w:rsid w:val="00762640"/>
    <w:rsid w:val="00767071"/>
    <w:rsid w:val="007739CD"/>
    <w:rsid w:val="00777C29"/>
    <w:rsid w:val="007809C6"/>
    <w:rsid w:val="007923F9"/>
    <w:rsid w:val="00793E33"/>
    <w:rsid w:val="00794EF9"/>
    <w:rsid w:val="00795F19"/>
    <w:rsid w:val="007963EE"/>
    <w:rsid w:val="007A0690"/>
    <w:rsid w:val="007A32E8"/>
    <w:rsid w:val="007A5E2C"/>
    <w:rsid w:val="007B3602"/>
    <w:rsid w:val="007B3C93"/>
    <w:rsid w:val="007B3D65"/>
    <w:rsid w:val="007B70B5"/>
    <w:rsid w:val="007B7457"/>
    <w:rsid w:val="007B74BE"/>
    <w:rsid w:val="007C1681"/>
    <w:rsid w:val="007C3158"/>
    <w:rsid w:val="007C5C6F"/>
    <w:rsid w:val="007D3B8F"/>
    <w:rsid w:val="007D5113"/>
    <w:rsid w:val="007E0853"/>
    <w:rsid w:val="007E0ECE"/>
    <w:rsid w:val="007F1FF1"/>
    <w:rsid w:val="007F277B"/>
    <w:rsid w:val="007F287C"/>
    <w:rsid w:val="007F330C"/>
    <w:rsid w:val="007F6166"/>
    <w:rsid w:val="007F6E2C"/>
    <w:rsid w:val="00800280"/>
    <w:rsid w:val="00801A0C"/>
    <w:rsid w:val="00802E41"/>
    <w:rsid w:val="00803286"/>
    <w:rsid w:val="0080360A"/>
    <w:rsid w:val="008052BF"/>
    <w:rsid w:val="00805E68"/>
    <w:rsid w:val="00813CE6"/>
    <w:rsid w:val="00814623"/>
    <w:rsid w:val="00814ED5"/>
    <w:rsid w:val="00815410"/>
    <w:rsid w:val="0081625E"/>
    <w:rsid w:val="008201A0"/>
    <w:rsid w:val="00820CF0"/>
    <w:rsid w:val="00822212"/>
    <w:rsid w:val="00822394"/>
    <w:rsid w:val="0082272E"/>
    <w:rsid w:val="00823F05"/>
    <w:rsid w:val="00824446"/>
    <w:rsid w:val="00824E31"/>
    <w:rsid w:val="00826ED0"/>
    <w:rsid w:val="00832251"/>
    <w:rsid w:val="00833A81"/>
    <w:rsid w:val="00833C20"/>
    <w:rsid w:val="008350E4"/>
    <w:rsid w:val="0083534F"/>
    <w:rsid w:val="008359EE"/>
    <w:rsid w:val="00846053"/>
    <w:rsid w:val="008506AA"/>
    <w:rsid w:val="00853347"/>
    <w:rsid w:val="00853A8B"/>
    <w:rsid w:val="00853E49"/>
    <w:rsid w:val="00860127"/>
    <w:rsid w:val="0086102F"/>
    <w:rsid w:val="008633FB"/>
    <w:rsid w:val="00863B70"/>
    <w:rsid w:val="00864119"/>
    <w:rsid w:val="00864DA2"/>
    <w:rsid w:val="00865E70"/>
    <w:rsid w:val="0086764E"/>
    <w:rsid w:val="008712B1"/>
    <w:rsid w:val="008733BB"/>
    <w:rsid w:val="00874870"/>
    <w:rsid w:val="00875787"/>
    <w:rsid w:val="008765B9"/>
    <w:rsid w:val="008839AD"/>
    <w:rsid w:val="00884E57"/>
    <w:rsid w:val="00885701"/>
    <w:rsid w:val="00885957"/>
    <w:rsid w:val="008910A7"/>
    <w:rsid w:val="008914FD"/>
    <w:rsid w:val="00891673"/>
    <w:rsid w:val="00896D8D"/>
    <w:rsid w:val="00897684"/>
    <w:rsid w:val="008A0167"/>
    <w:rsid w:val="008A2B70"/>
    <w:rsid w:val="008A3B5B"/>
    <w:rsid w:val="008A5DBD"/>
    <w:rsid w:val="008A6B3E"/>
    <w:rsid w:val="008A7765"/>
    <w:rsid w:val="008B3206"/>
    <w:rsid w:val="008C1E50"/>
    <w:rsid w:val="008C31F7"/>
    <w:rsid w:val="008C36D1"/>
    <w:rsid w:val="008C4D69"/>
    <w:rsid w:val="008C50C1"/>
    <w:rsid w:val="008C535A"/>
    <w:rsid w:val="008C5DA4"/>
    <w:rsid w:val="008C7FCB"/>
    <w:rsid w:val="008D15DC"/>
    <w:rsid w:val="008D2E37"/>
    <w:rsid w:val="008D3D57"/>
    <w:rsid w:val="008D42F3"/>
    <w:rsid w:val="008D757D"/>
    <w:rsid w:val="008E09B2"/>
    <w:rsid w:val="008E13FE"/>
    <w:rsid w:val="008E1AB0"/>
    <w:rsid w:val="008E2998"/>
    <w:rsid w:val="008E572F"/>
    <w:rsid w:val="008E63F5"/>
    <w:rsid w:val="008F2700"/>
    <w:rsid w:val="008F322D"/>
    <w:rsid w:val="008F538E"/>
    <w:rsid w:val="008F59F6"/>
    <w:rsid w:val="008F6F26"/>
    <w:rsid w:val="00911979"/>
    <w:rsid w:val="009132DB"/>
    <w:rsid w:val="00914376"/>
    <w:rsid w:val="009161B9"/>
    <w:rsid w:val="00922C68"/>
    <w:rsid w:val="009230B7"/>
    <w:rsid w:val="009266CE"/>
    <w:rsid w:val="00926C3A"/>
    <w:rsid w:val="00935585"/>
    <w:rsid w:val="009357F1"/>
    <w:rsid w:val="009378A0"/>
    <w:rsid w:val="0094080B"/>
    <w:rsid w:val="009426F4"/>
    <w:rsid w:val="00943101"/>
    <w:rsid w:val="00945FAB"/>
    <w:rsid w:val="00947297"/>
    <w:rsid w:val="00950500"/>
    <w:rsid w:val="009550E9"/>
    <w:rsid w:val="00956A50"/>
    <w:rsid w:val="00956A62"/>
    <w:rsid w:val="0096075A"/>
    <w:rsid w:val="00963364"/>
    <w:rsid w:val="00965FEC"/>
    <w:rsid w:val="00966A62"/>
    <w:rsid w:val="00967A30"/>
    <w:rsid w:val="009707FD"/>
    <w:rsid w:val="00972263"/>
    <w:rsid w:val="00973C89"/>
    <w:rsid w:val="00974FD1"/>
    <w:rsid w:val="00975C23"/>
    <w:rsid w:val="009760F7"/>
    <w:rsid w:val="00980061"/>
    <w:rsid w:val="009807BE"/>
    <w:rsid w:val="00980FDD"/>
    <w:rsid w:val="0098583F"/>
    <w:rsid w:val="00993A02"/>
    <w:rsid w:val="00994A2D"/>
    <w:rsid w:val="00995BF9"/>
    <w:rsid w:val="00996FDA"/>
    <w:rsid w:val="009975EF"/>
    <w:rsid w:val="009977CA"/>
    <w:rsid w:val="009A0EAF"/>
    <w:rsid w:val="009A1D10"/>
    <w:rsid w:val="009A3E9C"/>
    <w:rsid w:val="009A4895"/>
    <w:rsid w:val="009A58D7"/>
    <w:rsid w:val="009A5E3D"/>
    <w:rsid w:val="009A6D0F"/>
    <w:rsid w:val="009B1641"/>
    <w:rsid w:val="009B28D7"/>
    <w:rsid w:val="009B29BE"/>
    <w:rsid w:val="009B2BE6"/>
    <w:rsid w:val="009B4345"/>
    <w:rsid w:val="009B4B73"/>
    <w:rsid w:val="009B661A"/>
    <w:rsid w:val="009C1382"/>
    <w:rsid w:val="009C1B60"/>
    <w:rsid w:val="009C68D8"/>
    <w:rsid w:val="009C7380"/>
    <w:rsid w:val="009D36C6"/>
    <w:rsid w:val="009D4577"/>
    <w:rsid w:val="009D5E25"/>
    <w:rsid w:val="009D7743"/>
    <w:rsid w:val="009E2E96"/>
    <w:rsid w:val="009F3118"/>
    <w:rsid w:val="009F32B3"/>
    <w:rsid w:val="009F3C1E"/>
    <w:rsid w:val="009F720D"/>
    <w:rsid w:val="009F7852"/>
    <w:rsid w:val="00A01FE7"/>
    <w:rsid w:val="00A0517E"/>
    <w:rsid w:val="00A061CB"/>
    <w:rsid w:val="00A06220"/>
    <w:rsid w:val="00A0636D"/>
    <w:rsid w:val="00A10FDA"/>
    <w:rsid w:val="00A11FEE"/>
    <w:rsid w:val="00A14D95"/>
    <w:rsid w:val="00A1550C"/>
    <w:rsid w:val="00A30D0B"/>
    <w:rsid w:val="00A33ACC"/>
    <w:rsid w:val="00A34631"/>
    <w:rsid w:val="00A34E8D"/>
    <w:rsid w:val="00A35107"/>
    <w:rsid w:val="00A35C73"/>
    <w:rsid w:val="00A36221"/>
    <w:rsid w:val="00A40594"/>
    <w:rsid w:val="00A40614"/>
    <w:rsid w:val="00A420D0"/>
    <w:rsid w:val="00A4352C"/>
    <w:rsid w:val="00A45275"/>
    <w:rsid w:val="00A45A22"/>
    <w:rsid w:val="00A47ECE"/>
    <w:rsid w:val="00A51923"/>
    <w:rsid w:val="00A52A89"/>
    <w:rsid w:val="00A534BE"/>
    <w:rsid w:val="00A53DAE"/>
    <w:rsid w:val="00A60A95"/>
    <w:rsid w:val="00A66161"/>
    <w:rsid w:val="00A7200F"/>
    <w:rsid w:val="00A73259"/>
    <w:rsid w:val="00A7489D"/>
    <w:rsid w:val="00A801D0"/>
    <w:rsid w:val="00A80386"/>
    <w:rsid w:val="00A8249B"/>
    <w:rsid w:val="00A829B6"/>
    <w:rsid w:val="00A90947"/>
    <w:rsid w:val="00A926B4"/>
    <w:rsid w:val="00A93500"/>
    <w:rsid w:val="00A9488E"/>
    <w:rsid w:val="00A95ED3"/>
    <w:rsid w:val="00AA0BF5"/>
    <w:rsid w:val="00AA2836"/>
    <w:rsid w:val="00AA32B9"/>
    <w:rsid w:val="00AA52BB"/>
    <w:rsid w:val="00AB0D81"/>
    <w:rsid w:val="00AB4026"/>
    <w:rsid w:val="00AB6572"/>
    <w:rsid w:val="00AB7B42"/>
    <w:rsid w:val="00AC12FC"/>
    <w:rsid w:val="00AC6EAA"/>
    <w:rsid w:val="00AC70C2"/>
    <w:rsid w:val="00AD06A1"/>
    <w:rsid w:val="00AD563F"/>
    <w:rsid w:val="00AE0462"/>
    <w:rsid w:val="00AE2BA8"/>
    <w:rsid w:val="00AE3350"/>
    <w:rsid w:val="00AE502A"/>
    <w:rsid w:val="00AE7771"/>
    <w:rsid w:val="00AF2539"/>
    <w:rsid w:val="00AF278A"/>
    <w:rsid w:val="00AF42C0"/>
    <w:rsid w:val="00AF7061"/>
    <w:rsid w:val="00AF796D"/>
    <w:rsid w:val="00B00627"/>
    <w:rsid w:val="00B01A0C"/>
    <w:rsid w:val="00B01CD2"/>
    <w:rsid w:val="00B045AF"/>
    <w:rsid w:val="00B0513B"/>
    <w:rsid w:val="00B06486"/>
    <w:rsid w:val="00B07D5A"/>
    <w:rsid w:val="00B11F45"/>
    <w:rsid w:val="00B12D13"/>
    <w:rsid w:val="00B13ED5"/>
    <w:rsid w:val="00B16486"/>
    <w:rsid w:val="00B177F0"/>
    <w:rsid w:val="00B2460A"/>
    <w:rsid w:val="00B24941"/>
    <w:rsid w:val="00B2706D"/>
    <w:rsid w:val="00B302C4"/>
    <w:rsid w:val="00B3334E"/>
    <w:rsid w:val="00B33BF7"/>
    <w:rsid w:val="00B347A5"/>
    <w:rsid w:val="00B366EE"/>
    <w:rsid w:val="00B50B6D"/>
    <w:rsid w:val="00B52146"/>
    <w:rsid w:val="00B6000C"/>
    <w:rsid w:val="00B61B7F"/>
    <w:rsid w:val="00B635B0"/>
    <w:rsid w:val="00B66A56"/>
    <w:rsid w:val="00B7098E"/>
    <w:rsid w:val="00B72CCD"/>
    <w:rsid w:val="00B73CEE"/>
    <w:rsid w:val="00B74705"/>
    <w:rsid w:val="00B7490B"/>
    <w:rsid w:val="00B75380"/>
    <w:rsid w:val="00B8123C"/>
    <w:rsid w:val="00B82E0F"/>
    <w:rsid w:val="00B83951"/>
    <w:rsid w:val="00B846C0"/>
    <w:rsid w:val="00B860E9"/>
    <w:rsid w:val="00B867AB"/>
    <w:rsid w:val="00B87E87"/>
    <w:rsid w:val="00B900B3"/>
    <w:rsid w:val="00B93FAE"/>
    <w:rsid w:val="00B9572D"/>
    <w:rsid w:val="00B95CB6"/>
    <w:rsid w:val="00B96FDF"/>
    <w:rsid w:val="00BA0C2E"/>
    <w:rsid w:val="00BA121C"/>
    <w:rsid w:val="00BA1B0C"/>
    <w:rsid w:val="00BA1B70"/>
    <w:rsid w:val="00BA2B1B"/>
    <w:rsid w:val="00BA36A0"/>
    <w:rsid w:val="00BA45C3"/>
    <w:rsid w:val="00BA5CEB"/>
    <w:rsid w:val="00BA63C2"/>
    <w:rsid w:val="00BB4C02"/>
    <w:rsid w:val="00BB5D5A"/>
    <w:rsid w:val="00BB68C6"/>
    <w:rsid w:val="00BB7A06"/>
    <w:rsid w:val="00BC7A6D"/>
    <w:rsid w:val="00BD0E1D"/>
    <w:rsid w:val="00BD1DC8"/>
    <w:rsid w:val="00BD28B0"/>
    <w:rsid w:val="00BD3501"/>
    <w:rsid w:val="00BD37AA"/>
    <w:rsid w:val="00BD6B07"/>
    <w:rsid w:val="00BD745C"/>
    <w:rsid w:val="00BD76D8"/>
    <w:rsid w:val="00BE1CDE"/>
    <w:rsid w:val="00BE6025"/>
    <w:rsid w:val="00BE6D2C"/>
    <w:rsid w:val="00BE6D43"/>
    <w:rsid w:val="00BF15CA"/>
    <w:rsid w:val="00BF2334"/>
    <w:rsid w:val="00BF235E"/>
    <w:rsid w:val="00BF261A"/>
    <w:rsid w:val="00BF4397"/>
    <w:rsid w:val="00BF58B4"/>
    <w:rsid w:val="00C00788"/>
    <w:rsid w:val="00C01EA0"/>
    <w:rsid w:val="00C025A9"/>
    <w:rsid w:val="00C03070"/>
    <w:rsid w:val="00C036B0"/>
    <w:rsid w:val="00C03BDF"/>
    <w:rsid w:val="00C03DE4"/>
    <w:rsid w:val="00C10E0A"/>
    <w:rsid w:val="00C153BB"/>
    <w:rsid w:val="00C1588B"/>
    <w:rsid w:val="00C20675"/>
    <w:rsid w:val="00C21E61"/>
    <w:rsid w:val="00C26ED9"/>
    <w:rsid w:val="00C2709C"/>
    <w:rsid w:val="00C27E1E"/>
    <w:rsid w:val="00C32D9B"/>
    <w:rsid w:val="00C33B1C"/>
    <w:rsid w:val="00C42C9B"/>
    <w:rsid w:val="00C43F78"/>
    <w:rsid w:val="00C45F39"/>
    <w:rsid w:val="00C50901"/>
    <w:rsid w:val="00C54EEE"/>
    <w:rsid w:val="00C56049"/>
    <w:rsid w:val="00C60D2F"/>
    <w:rsid w:val="00C6113B"/>
    <w:rsid w:val="00C65BF8"/>
    <w:rsid w:val="00C66788"/>
    <w:rsid w:val="00C66FC2"/>
    <w:rsid w:val="00C70CD0"/>
    <w:rsid w:val="00C7108A"/>
    <w:rsid w:val="00C72E9B"/>
    <w:rsid w:val="00C7349C"/>
    <w:rsid w:val="00C74003"/>
    <w:rsid w:val="00C74CFB"/>
    <w:rsid w:val="00C75C0C"/>
    <w:rsid w:val="00C77363"/>
    <w:rsid w:val="00C808C3"/>
    <w:rsid w:val="00C80DB0"/>
    <w:rsid w:val="00C82FCC"/>
    <w:rsid w:val="00C8303D"/>
    <w:rsid w:val="00C8354B"/>
    <w:rsid w:val="00C835F7"/>
    <w:rsid w:val="00C842B5"/>
    <w:rsid w:val="00C84D99"/>
    <w:rsid w:val="00C85950"/>
    <w:rsid w:val="00C869C2"/>
    <w:rsid w:val="00C921E1"/>
    <w:rsid w:val="00C93365"/>
    <w:rsid w:val="00C95C09"/>
    <w:rsid w:val="00CA02D8"/>
    <w:rsid w:val="00CA228B"/>
    <w:rsid w:val="00CA22E7"/>
    <w:rsid w:val="00CA43EE"/>
    <w:rsid w:val="00CA49C1"/>
    <w:rsid w:val="00CA4CE3"/>
    <w:rsid w:val="00CA5C5A"/>
    <w:rsid w:val="00CA5EB8"/>
    <w:rsid w:val="00CB0D27"/>
    <w:rsid w:val="00CB2CF8"/>
    <w:rsid w:val="00CB35E1"/>
    <w:rsid w:val="00CB458D"/>
    <w:rsid w:val="00CB49AB"/>
    <w:rsid w:val="00CB4EEB"/>
    <w:rsid w:val="00CB5A41"/>
    <w:rsid w:val="00CB671E"/>
    <w:rsid w:val="00CC0BD3"/>
    <w:rsid w:val="00CC0BF9"/>
    <w:rsid w:val="00CC0D52"/>
    <w:rsid w:val="00CC17B9"/>
    <w:rsid w:val="00CC2BB1"/>
    <w:rsid w:val="00CC586C"/>
    <w:rsid w:val="00CC5D27"/>
    <w:rsid w:val="00CC71E8"/>
    <w:rsid w:val="00CD210A"/>
    <w:rsid w:val="00CD4B9D"/>
    <w:rsid w:val="00CD6D6B"/>
    <w:rsid w:val="00CE6B03"/>
    <w:rsid w:val="00CF0402"/>
    <w:rsid w:val="00CF2CCC"/>
    <w:rsid w:val="00CF61E3"/>
    <w:rsid w:val="00CF671C"/>
    <w:rsid w:val="00CF718C"/>
    <w:rsid w:val="00D008BD"/>
    <w:rsid w:val="00D0108C"/>
    <w:rsid w:val="00D01E98"/>
    <w:rsid w:val="00D01F68"/>
    <w:rsid w:val="00D0739B"/>
    <w:rsid w:val="00D107BA"/>
    <w:rsid w:val="00D108D3"/>
    <w:rsid w:val="00D12F18"/>
    <w:rsid w:val="00D1429B"/>
    <w:rsid w:val="00D14362"/>
    <w:rsid w:val="00D16B88"/>
    <w:rsid w:val="00D20319"/>
    <w:rsid w:val="00D21D9A"/>
    <w:rsid w:val="00D2373B"/>
    <w:rsid w:val="00D241FC"/>
    <w:rsid w:val="00D26B55"/>
    <w:rsid w:val="00D271F7"/>
    <w:rsid w:val="00D30A69"/>
    <w:rsid w:val="00D32BC1"/>
    <w:rsid w:val="00D35A88"/>
    <w:rsid w:val="00D3654E"/>
    <w:rsid w:val="00D37AA0"/>
    <w:rsid w:val="00D40DD6"/>
    <w:rsid w:val="00D425E1"/>
    <w:rsid w:val="00D44D10"/>
    <w:rsid w:val="00D45211"/>
    <w:rsid w:val="00D45F7F"/>
    <w:rsid w:val="00D46497"/>
    <w:rsid w:val="00D471CC"/>
    <w:rsid w:val="00D47C5E"/>
    <w:rsid w:val="00D53033"/>
    <w:rsid w:val="00D5345F"/>
    <w:rsid w:val="00D560D9"/>
    <w:rsid w:val="00D56BC2"/>
    <w:rsid w:val="00D576B7"/>
    <w:rsid w:val="00D60482"/>
    <w:rsid w:val="00D6088C"/>
    <w:rsid w:val="00D618D1"/>
    <w:rsid w:val="00D65613"/>
    <w:rsid w:val="00D66CBE"/>
    <w:rsid w:val="00D73753"/>
    <w:rsid w:val="00D739DA"/>
    <w:rsid w:val="00D74C2F"/>
    <w:rsid w:val="00D75BED"/>
    <w:rsid w:val="00D77BF6"/>
    <w:rsid w:val="00D80120"/>
    <w:rsid w:val="00D836E2"/>
    <w:rsid w:val="00D840E5"/>
    <w:rsid w:val="00D84868"/>
    <w:rsid w:val="00D852A4"/>
    <w:rsid w:val="00D85CBA"/>
    <w:rsid w:val="00D871CC"/>
    <w:rsid w:val="00D87B20"/>
    <w:rsid w:val="00D87C77"/>
    <w:rsid w:val="00D9358E"/>
    <w:rsid w:val="00D9448F"/>
    <w:rsid w:val="00D945E6"/>
    <w:rsid w:val="00DA00EF"/>
    <w:rsid w:val="00DA0346"/>
    <w:rsid w:val="00DA0E75"/>
    <w:rsid w:val="00DA0FC7"/>
    <w:rsid w:val="00DA1063"/>
    <w:rsid w:val="00DA13A0"/>
    <w:rsid w:val="00DA2A55"/>
    <w:rsid w:val="00DA4BE8"/>
    <w:rsid w:val="00DA5A35"/>
    <w:rsid w:val="00DA7DF4"/>
    <w:rsid w:val="00DB0822"/>
    <w:rsid w:val="00DB1360"/>
    <w:rsid w:val="00DB3C6C"/>
    <w:rsid w:val="00DB4155"/>
    <w:rsid w:val="00DB4A34"/>
    <w:rsid w:val="00DB7C35"/>
    <w:rsid w:val="00DC027A"/>
    <w:rsid w:val="00DC167F"/>
    <w:rsid w:val="00DC251D"/>
    <w:rsid w:val="00DC34F6"/>
    <w:rsid w:val="00DC4507"/>
    <w:rsid w:val="00DC61D6"/>
    <w:rsid w:val="00DC6485"/>
    <w:rsid w:val="00DC66C6"/>
    <w:rsid w:val="00DD0307"/>
    <w:rsid w:val="00DD2336"/>
    <w:rsid w:val="00DD5E9B"/>
    <w:rsid w:val="00DD641A"/>
    <w:rsid w:val="00DE353E"/>
    <w:rsid w:val="00DE47E1"/>
    <w:rsid w:val="00DE49AC"/>
    <w:rsid w:val="00DE5356"/>
    <w:rsid w:val="00DF05B9"/>
    <w:rsid w:val="00DF1090"/>
    <w:rsid w:val="00DF2AC7"/>
    <w:rsid w:val="00DF3B93"/>
    <w:rsid w:val="00DF48B3"/>
    <w:rsid w:val="00DF749A"/>
    <w:rsid w:val="00DF7AA0"/>
    <w:rsid w:val="00DF7D98"/>
    <w:rsid w:val="00E030E4"/>
    <w:rsid w:val="00E03B76"/>
    <w:rsid w:val="00E04B83"/>
    <w:rsid w:val="00E051F4"/>
    <w:rsid w:val="00E07535"/>
    <w:rsid w:val="00E10B5B"/>
    <w:rsid w:val="00E10BFD"/>
    <w:rsid w:val="00E1269D"/>
    <w:rsid w:val="00E131DF"/>
    <w:rsid w:val="00E152AF"/>
    <w:rsid w:val="00E16C22"/>
    <w:rsid w:val="00E170E9"/>
    <w:rsid w:val="00E176B6"/>
    <w:rsid w:val="00E2045B"/>
    <w:rsid w:val="00E20816"/>
    <w:rsid w:val="00E2110E"/>
    <w:rsid w:val="00E213DF"/>
    <w:rsid w:val="00E24316"/>
    <w:rsid w:val="00E25931"/>
    <w:rsid w:val="00E25ACE"/>
    <w:rsid w:val="00E25B31"/>
    <w:rsid w:val="00E30B0E"/>
    <w:rsid w:val="00E31932"/>
    <w:rsid w:val="00E31C08"/>
    <w:rsid w:val="00E3333A"/>
    <w:rsid w:val="00E34BAF"/>
    <w:rsid w:val="00E35275"/>
    <w:rsid w:val="00E3711F"/>
    <w:rsid w:val="00E379CA"/>
    <w:rsid w:val="00E429E7"/>
    <w:rsid w:val="00E46495"/>
    <w:rsid w:val="00E4706A"/>
    <w:rsid w:val="00E474C5"/>
    <w:rsid w:val="00E47711"/>
    <w:rsid w:val="00E47DAF"/>
    <w:rsid w:val="00E507DB"/>
    <w:rsid w:val="00E512F2"/>
    <w:rsid w:val="00E520AA"/>
    <w:rsid w:val="00E53BA7"/>
    <w:rsid w:val="00E54E6C"/>
    <w:rsid w:val="00E55DB2"/>
    <w:rsid w:val="00E6244C"/>
    <w:rsid w:val="00E63AF0"/>
    <w:rsid w:val="00E65688"/>
    <w:rsid w:val="00E659B4"/>
    <w:rsid w:val="00E66F9D"/>
    <w:rsid w:val="00E67CF2"/>
    <w:rsid w:val="00E70496"/>
    <w:rsid w:val="00E72D6F"/>
    <w:rsid w:val="00E75714"/>
    <w:rsid w:val="00E762A4"/>
    <w:rsid w:val="00E762E1"/>
    <w:rsid w:val="00E77C71"/>
    <w:rsid w:val="00E813E2"/>
    <w:rsid w:val="00E81B26"/>
    <w:rsid w:val="00E8499A"/>
    <w:rsid w:val="00E84F0A"/>
    <w:rsid w:val="00E86368"/>
    <w:rsid w:val="00E86BC5"/>
    <w:rsid w:val="00E90DFC"/>
    <w:rsid w:val="00E92AFD"/>
    <w:rsid w:val="00E92B08"/>
    <w:rsid w:val="00EA3A13"/>
    <w:rsid w:val="00EA4057"/>
    <w:rsid w:val="00EA6B27"/>
    <w:rsid w:val="00EB0078"/>
    <w:rsid w:val="00EB1432"/>
    <w:rsid w:val="00EB2D84"/>
    <w:rsid w:val="00EB55E6"/>
    <w:rsid w:val="00EB6DFF"/>
    <w:rsid w:val="00EB7904"/>
    <w:rsid w:val="00EC0AC3"/>
    <w:rsid w:val="00EC0C6E"/>
    <w:rsid w:val="00EC3519"/>
    <w:rsid w:val="00EC38BC"/>
    <w:rsid w:val="00EC410E"/>
    <w:rsid w:val="00EC56C6"/>
    <w:rsid w:val="00EC69D2"/>
    <w:rsid w:val="00ED1968"/>
    <w:rsid w:val="00ED1DD4"/>
    <w:rsid w:val="00ED3C40"/>
    <w:rsid w:val="00EE1368"/>
    <w:rsid w:val="00EE7A6F"/>
    <w:rsid w:val="00EF0506"/>
    <w:rsid w:val="00EF2734"/>
    <w:rsid w:val="00EF2FD7"/>
    <w:rsid w:val="00EF3B77"/>
    <w:rsid w:val="00EF4EBD"/>
    <w:rsid w:val="00F0076B"/>
    <w:rsid w:val="00F020F2"/>
    <w:rsid w:val="00F0268F"/>
    <w:rsid w:val="00F03C16"/>
    <w:rsid w:val="00F04926"/>
    <w:rsid w:val="00F0717D"/>
    <w:rsid w:val="00F10B70"/>
    <w:rsid w:val="00F136F8"/>
    <w:rsid w:val="00F15CEC"/>
    <w:rsid w:val="00F162A6"/>
    <w:rsid w:val="00F16506"/>
    <w:rsid w:val="00F1695C"/>
    <w:rsid w:val="00F20E08"/>
    <w:rsid w:val="00F20E8C"/>
    <w:rsid w:val="00F22918"/>
    <w:rsid w:val="00F23385"/>
    <w:rsid w:val="00F26553"/>
    <w:rsid w:val="00F27827"/>
    <w:rsid w:val="00F347FF"/>
    <w:rsid w:val="00F34A65"/>
    <w:rsid w:val="00F35546"/>
    <w:rsid w:val="00F4146B"/>
    <w:rsid w:val="00F46E9A"/>
    <w:rsid w:val="00F56566"/>
    <w:rsid w:val="00F566CB"/>
    <w:rsid w:val="00F577BB"/>
    <w:rsid w:val="00F65ED5"/>
    <w:rsid w:val="00F6607B"/>
    <w:rsid w:val="00F66343"/>
    <w:rsid w:val="00F66A62"/>
    <w:rsid w:val="00F67314"/>
    <w:rsid w:val="00F6761D"/>
    <w:rsid w:val="00F70038"/>
    <w:rsid w:val="00F70BCA"/>
    <w:rsid w:val="00F70F5C"/>
    <w:rsid w:val="00F73F1D"/>
    <w:rsid w:val="00F74352"/>
    <w:rsid w:val="00F74EB8"/>
    <w:rsid w:val="00F76992"/>
    <w:rsid w:val="00F77E05"/>
    <w:rsid w:val="00F866B6"/>
    <w:rsid w:val="00F86CA0"/>
    <w:rsid w:val="00F878DD"/>
    <w:rsid w:val="00F87A0B"/>
    <w:rsid w:val="00F911EF"/>
    <w:rsid w:val="00F91E54"/>
    <w:rsid w:val="00F944FD"/>
    <w:rsid w:val="00F97603"/>
    <w:rsid w:val="00FA0299"/>
    <w:rsid w:val="00FA1B38"/>
    <w:rsid w:val="00FA1D3A"/>
    <w:rsid w:val="00FA60E3"/>
    <w:rsid w:val="00FB0D1F"/>
    <w:rsid w:val="00FB0FCF"/>
    <w:rsid w:val="00FB13DC"/>
    <w:rsid w:val="00FB3772"/>
    <w:rsid w:val="00FB40EA"/>
    <w:rsid w:val="00FB46AB"/>
    <w:rsid w:val="00FB5B0D"/>
    <w:rsid w:val="00FC73EB"/>
    <w:rsid w:val="00FD0C13"/>
    <w:rsid w:val="00FD244D"/>
    <w:rsid w:val="00FD38DE"/>
    <w:rsid w:val="00FD4479"/>
    <w:rsid w:val="00FD4C56"/>
    <w:rsid w:val="00FD4EC4"/>
    <w:rsid w:val="00FD6110"/>
    <w:rsid w:val="00FD64D8"/>
    <w:rsid w:val="00FD75D9"/>
    <w:rsid w:val="00FD7DEF"/>
    <w:rsid w:val="00FD7E5A"/>
    <w:rsid w:val="00FE0004"/>
    <w:rsid w:val="00FE3B42"/>
    <w:rsid w:val="00FF00C3"/>
    <w:rsid w:val="00FF2DA6"/>
    <w:rsid w:val="00FF53C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9BE98"/>
  <w15:docId w15:val="{FF60A4A5-6AED-45A4-B256-58631747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466"/>
    <w:pPr>
      <w:spacing w:line="240" w:lineRule="atLeast"/>
    </w:pPr>
    <w:rPr>
      <w:sz w:val="22"/>
      <w:szCs w:val="22"/>
      <w:lang w:val="es-ES" w:eastAsia="en-US"/>
    </w:rPr>
  </w:style>
  <w:style w:type="paragraph" w:styleId="Ttulo1">
    <w:name w:val="heading 1"/>
    <w:basedOn w:val="Normal"/>
    <w:next w:val="Normal"/>
    <w:link w:val="Ttulo1Car"/>
    <w:uiPriority w:val="9"/>
    <w:qFormat/>
    <w:rsid w:val="00F6607B"/>
    <w:pPr>
      <w:keepNext/>
      <w:keepLines/>
      <w:spacing w:before="360" w:after="80" w:line="259" w:lineRule="auto"/>
      <w:outlineLvl w:val="0"/>
    </w:pPr>
    <w:rPr>
      <w:rFonts w:ascii="Calibri Light" w:eastAsia="Times New Roman" w:hAnsi="Calibri Light"/>
      <w:color w:val="2F5496"/>
      <w:kern w:val="2"/>
      <w:sz w:val="40"/>
      <w:szCs w:val="40"/>
      <w:lang w:val="es-MX"/>
    </w:rPr>
  </w:style>
  <w:style w:type="paragraph" w:styleId="Ttulo2">
    <w:name w:val="heading 2"/>
    <w:basedOn w:val="Normal"/>
    <w:next w:val="Normal"/>
    <w:link w:val="Ttulo2Car"/>
    <w:uiPriority w:val="9"/>
    <w:semiHidden/>
    <w:unhideWhenUsed/>
    <w:qFormat/>
    <w:rsid w:val="00F6607B"/>
    <w:pPr>
      <w:keepNext/>
      <w:keepLines/>
      <w:spacing w:before="160" w:after="80" w:line="259" w:lineRule="auto"/>
      <w:outlineLvl w:val="1"/>
    </w:pPr>
    <w:rPr>
      <w:rFonts w:ascii="Calibri Light" w:eastAsia="Times New Roman" w:hAnsi="Calibri Light"/>
      <w:color w:val="2F5496"/>
      <w:kern w:val="2"/>
      <w:sz w:val="32"/>
      <w:szCs w:val="32"/>
      <w:lang w:val="es-MX"/>
    </w:rPr>
  </w:style>
  <w:style w:type="paragraph" w:styleId="Ttulo3">
    <w:name w:val="heading 3"/>
    <w:basedOn w:val="Normal"/>
    <w:next w:val="Normal"/>
    <w:link w:val="Ttulo3Car"/>
    <w:uiPriority w:val="9"/>
    <w:semiHidden/>
    <w:unhideWhenUsed/>
    <w:qFormat/>
    <w:rsid w:val="00F6607B"/>
    <w:pPr>
      <w:keepNext/>
      <w:keepLines/>
      <w:spacing w:before="160" w:after="80" w:line="259" w:lineRule="auto"/>
      <w:outlineLvl w:val="2"/>
    </w:pPr>
    <w:rPr>
      <w:rFonts w:eastAsia="Times New Roman"/>
      <w:color w:val="2F5496"/>
      <w:kern w:val="2"/>
      <w:sz w:val="28"/>
      <w:szCs w:val="28"/>
      <w:lang w:val="es-MX"/>
    </w:rPr>
  </w:style>
  <w:style w:type="paragraph" w:styleId="Ttulo4">
    <w:name w:val="heading 4"/>
    <w:basedOn w:val="Normal"/>
    <w:next w:val="Normal"/>
    <w:link w:val="Ttulo4Car"/>
    <w:uiPriority w:val="9"/>
    <w:semiHidden/>
    <w:unhideWhenUsed/>
    <w:qFormat/>
    <w:rsid w:val="00F6607B"/>
    <w:pPr>
      <w:keepNext/>
      <w:keepLines/>
      <w:spacing w:before="80" w:after="40" w:line="259" w:lineRule="auto"/>
      <w:outlineLvl w:val="3"/>
    </w:pPr>
    <w:rPr>
      <w:rFonts w:eastAsia="Times New Roman"/>
      <w:i/>
      <w:iCs/>
      <w:color w:val="2F5496"/>
      <w:kern w:val="2"/>
      <w:lang w:val="es-MX"/>
    </w:rPr>
  </w:style>
  <w:style w:type="paragraph" w:styleId="Ttulo5">
    <w:name w:val="heading 5"/>
    <w:basedOn w:val="Normal"/>
    <w:next w:val="Normal"/>
    <w:link w:val="Ttulo5Car"/>
    <w:uiPriority w:val="9"/>
    <w:semiHidden/>
    <w:unhideWhenUsed/>
    <w:qFormat/>
    <w:rsid w:val="00F6607B"/>
    <w:pPr>
      <w:keepNext/>
      <w:keepLines/>
      <w:spacing w:before="80" w:after="40" w:line="259" w:lineRule="auto"/>
      <w:outlineLvl w:val="4"/>
    </w:pPr>
    <w:rPr>
      <w:rFonts w:eastAsia="Times New Roman"/>
      <w:color w:val="2F5496"/>
      <w:kern w:val="2"/>
      <w:lang w:val="es-MX"/>
    </w:rPr>
  </w:style>
  <w:style w:type="paragraph" w:styleId="Ttulo6">
    <w:name w:val="heading 6"/>
    <w:basedOn w:val="Normal"/>
    <w:next w:val="Normal"/>
    <w:link w:val="Ttulo6Car"/>
    <w:uiPriority w:val="9"/>
    <w:semiHidden/>
    <w:unhideWhenUsed/>
    <w:qFormat/>
    <w:rsid w:val="00F6607B"/>
    <w:pPr>
      <w:keepNext/>
      <w:keepLines/>
      <w:spacing w:before="40" w:line="259" w:lineRule="auto"/>
      <w:outlineLvl w:val="5"/>
    </w:pPr>
    <w:rPr>
      <w:rFonts w:eastAsia="Times New Roman"/>
      <w:i/>
      <w:iCs/>
      <w:color w:val="595959"/>
      <w:kern w:val="2"/>
      <w:lang w:val="es-MX"/>
    </w:rPr>
  </w:style>
  <w:style w:type="paragraph" w:styleId="Ttulo7">
    <w:name w:val="heading 7"/>
    <w:basedOn w:val="Normal"/>
    <w:next w:val="Normal"/>
    <w:link w:val="Ttulo7Car"/>
    <w:uiPriority w:val="9"/>
    <w:semiHidden/>
    <w:unhideWhenUsed/>
    <w:qFormat/>
    <w:rsid w:val="00F6607B"/>
    <w:pPr>
      <w:keepNext/>
      <w:keepLines/>
      <w:spacing w:before="40" w:line="259" w:lineRule="auto"/>
      <w:outlineLvl w:val="6"/>
    </w:pPr>
    <w:rPr>
      <w:rFonts w:eastAsia="Times New Roman"/>
      <w:color w:val="595959"/>
      <w:kern w:val="2"/>
      <w:lang w:val="es-MX"/>
    </w:rPr>
  </w:style>
  <w:style w:type="paragraph" w:styleId="Ttulo8">
    <w:name w:val="heading 8"/>
    <w:basedOn w:val="Normal"/>
    <w:next w:val="Normal"/>
    <w:link w:val="Ttulo8Car"/>
    <w:uiPriority w:val="9"/>
    <w:semiHidden/>
    <w:unhideWhenUsed/>
    <w:qFormat/>
    <w:rsid w:val="00F6607B"/>
    <w:pPr>
      <w:keepNext/>
      <w:keepLines/>
      <w:spacing w:line="259" w:lineRule="auto"/>
      <w:outlineLvl w:val="7"/>
    </w:pPr>
    <w:rPr>
      <w:rFonts w:eastAsia="Times New Roman"/>
      <w:i/>
      <w:iCs/>
      <w:color w:val="272727"/>
      <w:kern w:val="2"/>
      <w:lang w:val="es-MX"/>
    </w:rPr>
  </w:style>
  <w:style w:type="paragraph" w:styleId="Ttulo9">
    <w:name w:val="heading 9"/>
    <w:basedOn w:val="Normal"/>
    <w:next w:val="Normal"/>
    <w:link w:val="Ttulo9Car"/>
    <w:uiPriority w:val="9"/>
    <w:semiHidden/>
    <w:unhideWhenUsed/>
    <w:qFormat/>
    <w:rsid w:val="00F6607B"/>
    <w:pPr>
      <w:keepNext/>
      <w:keepLines/>
      <w:spacing w:line="259" w:lineRule="auto"/>
      <w:outlineLvl w:val="8"/>
    </w:pPr>
    <w:rPr>
      <w:rFonts w:eastAsia="Times New Roman"/>
      <w:color w:val="272727"/>
      <w:kern w:val="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076B"/>
    <w:pPr>
      <w:tabs>
        <w:tab w:val="center" w:pos="4252"/>
        <w:tab w:val="right" w:pos="8504"/>
      </w:tabs>
    </w:pPr>
  </w:style>
  <w:style w:type="character" w:customStyle="1" w:styleId="EncabezadoCar">
    <w:name w:val="Encabezado Car"/>
    <w:link w:val="Encabezado"/>
    <w:uiPriority w:val="99"/>
    <w:rsid w:val="00F0076B"/>
    <w:rPr>
      <w:sz w:val="22"/>
      <w:szCs w:val="22"/>
      <w:lang w:eastAsia="en-US"/>
    </w:rPr>
  </w:style>
  <w:style w:type="paragraph" w:styleId="Piedepgina">
    <w:name w:val="footer"/>
    <w:basedOn w:val="Normal"/>
    <w:link w:val="PiedepginaCar"/>
    <w:uiPriority w:val="99"/>
    <w:unhideWhenUsed/>
    <w:rsid w:val="00F0076B"/>
    <w:pPr>
      <w:tabs>
        <w:tab w:val="center" w:pos="4252"/>
        <w:tab w:val="right" w:pos="8504"/>
      </w:tabs>
    </w:pPr>
  </w:style>
  <w:style w:type="character" w:customStyle="1" w:styleId="PiedepginaCar">
    <w:name w:val="Pie de página Car"/>
    <w:link w:val="Piedepgina"/>
    <w:uiPriority w:val="99"/>
    <w:rsid w:val="00F0076B"/>
    <w:rPr>
      <w:sz w:val="22"/>
      <w:szCs w:val="22"/>
      <w:lang w:eastAsia="en-US"/>
    </w:rPr>
  </w:style>
  <w:style w:type="paragraph" w:customStyle="1" w:styleId="Default">
    <w:name w:val="Default"/>
    <w:rsid w:val="00D45F7F"/>
    <w:pPr>
      <w:autoSpaceDE w:val="0"/>
      <w:autoSpaceDN w:val="0"/>
      <w:adjustRightInd w:val="0"/>
      <w:spacing w:line="240" w:lineRule="atLeast"/>
    </w:pPr>
    <w:rPr>
      <w:rFonts w:ascii="Calibri Light" w:hAnsi="Calibri Light" w:cs="Calibri Light"/>
      <w:color w:val="000000"/>
      <w:sz w:val="24"/>
      <w:szCs w:val="24"/>
      <w:lang w:val="es-ES" w:eastAsia="es-ES"/>
    </w:rPr>
  </w:style>
  <w:style w:type="paragraph" w:styleId="Textonotapie">
    <w:name w:val="footnote text"/>
    <w:basedOn w:val="Normal"/>
    <w:link w:val="TextonotapieCar"/>
    <w:uiPriority w:val="99"/>
    <w:semiHidden/>
    <w:unhideWhenUsed/>
    <w:rsid w:val="00F20E8C"/>
    <w:rPr>
      <w:sz w:val="20"/>
      <w:szCs w:val="20"/>
    </w:rPr>
  </w:style>
  <w:style w:type="character" w:customStyle="1" w:styleId="TextonotapieCar">
    <w:name w:val="Texto nota pie Car"/>
    <w:link w:val="Textonotapie"/>
    <w:uiPriority w:val="99"/>
    <w:semiHidden/>
    <w:rsid w:val="00F20E8C"/>
    <w:rPr>
      <w:lang w:eastAsia="en-US"/>
    </w:rPr>
  </w:style>
  <w:style w:type="character" w:styleId="Refdenotaalpie">
    <w:name w:val="footnote reference"/>
    <w:uiPriority w:val="99"/>
    <w:semiHidden/>
    <w:unhideWhenUsed/>
    <w:rsid w:val="00F20E8C"/>
    <w:rPr>
      <w:vertAlign w:val="superscript"/>
    </w:rPr>
  </w:style>
  <w:style w:type="character" w:styleId="Refdecomentario">
    <w:name w:val="annotation reference"/>
    <w:uiPriority w:val="99"/>
    <w:semiHidden/>
    <w:unhideWhenUsed/>
    <w:rsid w:val="00F20E8C"/>
    <w:rPr>
      <w:sz w:val="16"/>
      <w:szCs w:val="16"/>
    </w:rPr>
  </w:style>
  <w:style w:type="paragraph" w:styleId="Textocomentario">
    <w:name w:val="annotation text"/>
    <w:basedOn w:val="Normal"/>
    <w:link w:val="TextocomentarioCar"/>
    <w:uiPriority w:val="99"/>
    <w:unhideWhenUsed/>
    <w:rsid w:val="00F20E8C"/>
    <w:rPr>
      <w:sz w:val="20"/>
      <w:szCs w:val="20"/>
    </w:rPr>
  </w:style>
  <w:style w:type="character" w:customStyle="1" w:styleId="TextocomentarioCar">
    <w:name w:val="Texto comentario Car"/>
    <w:link w:val="Textocomentario"/>
    <w:uiPriority w:val="99"/>
    <w:rsid w:val="00F20E8C"/>
    <w:rPr>
      <w:lang w:eastAsia="en-US"/>
    </w:rPr>
  </w:style>
  <w:style w:type="paragraph" w:styleId="Asuntodelcomentario">
    <w:name w:val="annotation subject"/>
    <w:basedOn w:val="Textocomentario"/>
    <w:next w:val="Textocomentario"/>
    <w:link w:val="AsuntodelcomentarioCar"/>
    <w:uiPriority w:val="99"/>
    <w:semiHidden/>
    <w:unhideWhenUsed/>
    <w:rsid w:val="00F20E8C"/>
    <w:rPr>
      <w:b/>
      <w:bCs/>
    </w:rPr>
  </w:style>
  <w:style w:type="character" w:customStyle="1" w:styleId="AsuntodelcomentarioCar">
    <w:name w:val="Asunto del comentario Car"/>
    <w:link w:val="Asuntodelcomentario"/>
    <w:uiPriority w:val="99"/>
    <w:semiHidden/>
    <w:rsid w:val="00F20E8C"/>
    <w:rPr>
      <w:b/>
      <w:bCs/>
      <w:lang w:eastAsia="en-US"/>
    </w:rPr>
  </w:style>
  <w:style w:type="character" w:styleId="Hipervnculo">
    <w:name w:val="Hyperlink"/>
    <w:uiPriority w:val="99"/>
    <w:unhideWhenUsed/>
    <w:rsid w:val="00583964"/>
    <w:rPr>
      <w:color w:val="0563C1"/>
      <w:u w:val="single"/>
    </w:rPr>
  </w:style>
  <w:style w:type="character" w:customStyle="1" w:styleId="Mencinsinresolver1">
    <w:name w:val="Mención sin resolver1"/>
    <w:uiPriority w:val="99"/>
    <w:semiHidden/>
    <w:unhideWhenUsed/>
    <w:rsid w:val="00583964"/>
    <w:rPr>
      <w:color w:val="605E5C"/>
      <w:shd w:val="clear" w:color="auto" w:fill="E1DFDD"/>
    </w:rPr>
  </w:style>
  <w:style w:type="character" w:customStyle="1" w:styleId="cf01">
    <w:name w:val="cf01"/>
    <w:rsid w:val="00CA4CE3"/>
    <w:rPr>
      <w:rFonts w:ascii="Segoe UI" w:hAnsi="Segoe UI" w:cs="Segoe UI" w:hint="default"/>
      <w:sz w:val="18"/>
      <w:szCs w:val="18"/>
    </w:rPr>
  </w:style>
  <w:style w:type="paragraph" w:customStyle="1" w:styleId="pf0">
    <w:name w:val="pf0"/>
    <w:basedOn w:val="Normal"/>
    <w:rsid w:val="00CA4CE3"/>
    <w:pPr>
      <w:spacing w:before="100" w:beforeAutospacing="1" w:after="100" w:afterAutospacing="1" w:line="240" w:lineRule="auto"/>
    </w:pPr>
    <w:rPr>
      <w:rFonts w:ascii="Times New Roman" w:eastAsia="Times New Roman" w:hAnsi="Times New Roman"/>
      <w:sz w:val="24"/>
      <w:szCs w:val="24"/>
      <w:lang w:eastAsia="es-ES"/>
    </w:rPr>
  </w:style>
  <w:style w:type="table" w:styleId="Tablaconcuadrcula">
    <w:name w:val="Table Grid"/>
    <w:basedOn w:val="Tablanormal"/>
    <w:uiPriority w:val="39"/>
    <w:rsid w:val="006D5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A13A0"/>
    <w:pPr>
      <w:spacing w:line="240" w:lineRule="atLeast"/>
    </w:pPr>
    <w:rPr>
      <w:sz w:val="22"/>
      <w:szCs w:val="22"/>
      <w:lang w:val="es-ES" w:eastAsia="en-US"/>
    </w:rPr>
  </w:style>
  <w:style w:type="paragraph" w:styleId="Textodeglobo">
    <w:name w:val="Balloon Text"/>
    <w:basedOn w:val="Normal"/>
    <w:link w:val="TextodegloboCar"/>
    <w:uiPriority w:val="99"/>
    <w:semiHidden/>
    <w:unhideWhenUsed/>
    <w:rsid w:val="00B24941"/>
    <w:pPr>
      <w:spacing w:line="240" w:lineRule="auto"/>
    </w:pPr>
    <w:rPr>
      <w:rFonts w:ascii="Segoe UI" w:hAnsi="Segoe UI" w:cs="Segoe UI"/>
      <w:sz w:val="18"/>
      <w:szCs w:val="18"/>
    </w:rPr>
  </w:style>
  <w:style w:type="character" w:customStyle="1" w:styleId="TextodegloboCar">
    <w:name w:val="Texto de globo Car"/>
    <w:link w:val="Textodeglobo"/>
    <w:uiPriority w:val="99"/>
    <w:semiHidden/>
    <w:rsid w:val="00B24941"/>
    <w:rPr>
      <w:rFonts w:ascii="Segoe UI" w:hAnsi="Segoe UI" w:cs="Segoe UI"/>
      <w:sz w:val="18"/>
      <w:szCs w:val="18"/>
      <w:lang w:val="es-ES" w:eastAsia="en-US"/>
    </w:rPr>
  </w:style>
  <w:style w:type="paragraph" w:customStyle="1" w:styleId="art-title">
    <w:name w:val="art-title"/>
    <w:basedOn w:val="Normal"/>
    <w:rsid w:val="001166DF"/>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journal">
    <w:name w:val="journal"/>
    <w:basedOn w:val="Fuentedeprrafopredeter"/>
    <w:rsid w:val="001166DF"/>
  </w:style>
  <w:style w:type="character" w:customStyle="1" w:styleId="issue">
    <w:name w:val="issue"/>
    <w:basedOn w:val="Fuentedeprrafopredeter"/>
    <w:rsid w:val="001166DF"/>
  </w:style>
  <w:style w:type="character" w:customStyle="1" w:styleId="volume">
    <w:name w:val="volume"/>
    <w:basedOn w:val="Fuentedeprrafopredeter"/>
    <w:rsid w:val="001166DF"/>
  </w:style>
  <w:style w:type="character" w:customStyle="1" w:styleId="year">
    <w:name w:val="year"/>
    <w:basedOn w:val="Fuentedeprrafopredeter"/>
    <w:rsid w:val="001166DF"/>
  </w:style>
  <w:style w:type="character" w:customStyle="1" w:styleId="Mencinsinresolver2">
    <w:name w:val="Mención sin resolver2"/>
    <w:uiPriority w:val="99"/>
    <w:rsid w:val="00B75380"/>
    <w:rPr>
      <w:color w:val="605E5C"/>
      <w:shd w:val="clear" w:color="auto" w:fill="E1DFDD"/>
    </w:rPr>
  </w:style>
  <w:style w:type="character" w:customStyle="1" w:styleId="hps">
    <w:name w:val="hps"/>
    <w:basedOn w:val="Fuentedeprrafopredeter"/>
    <w:rsid w:val="002F62BC"/>
  </w:style>
  <w:style w:type="paragraph" w:styleId="NormalWeb">
    <w:name w:val="Normal (Web)"/>
    <w:basedOn w:val="Normal"/>
    <w:uiPriority w:val="99"/>
    <w:unhideWhenUsed/>
    <w:rsid w:val="00BD37AA"/>
    <w:pPr>
      <w:spacing w:before="100" w:beforeAutospacing="1" w:after="100" w:afterAutospacing="1" w:line="240" w:lineRule="auto"/>
    </w:pPr>
    <w:rPr>
      <w:rFonts w:ascii="Times New Roman" w:eastAsia="Times New Roman" w:hAnsi="Times New Roman"/>
      <w:sz w:val="24"/>
      <w:szCs w:val="24"/>
      <w:lang w:val="es-PE" w:eastAsia="es-PE"/>
    </w:rPr>
  </w:style>
  <w:style w:type="table" w:styleId="Tabladelista1clara-nfasis3">
    <w:name w:val="List Table 1 Light Accent 3"/>
    <w:basedOn w:val="Tablanormal"/>
    <w:uiPriority w:val="46"/>
    <w:rsid w:val="00D32BC1"/>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Mencinsinresolver">
    <w:name w:val="Unresolved Mention"/>
    <w:uiPriority w:val="99"/>
    <w:semiHidden/>
    <w:unhideWhenUsed/>
    <w:rsid w:val="00FB0FCF"/>
    <w:rPr>
      <w:color w:val="605E5C"/>
      <w:shd w:val="clear" w:color="auto" w:fill="E1DFDD"/>
    </w:rPr>
  </w:style>
  <w:style w:type="paragraph" w:styleId="Prrafodelista">
    <w:name w:val="List Paragraph"/>
    <w:basedOn w:val="Normal"/>
    <w:uiPriority w:val="34"/>
    <w:qFormat/>
    <w:rsid w:val="000C0A64"/>
    <w:pPr>
      <w:ind w:left="720"/>
      <w:contextualSpacing/>
    </w:pPr>
  </w:style>
  <w:style w:type="character" w:customStyle="1" w:styleId="spelle">
    <w:name w:val="spelle"/>
    <w:rsid w:val="00130D55"/>
  </w:style>
  <w:style w:type="character" w:customStyle="1" w:styleId="grame">
    <w:name w:val="grame"/>
    <w:rsid w:val="00130D55"/>
  </w:style>
  <w:style w:type="character" w:customStyle="1" w:styleId="Ttulo1Car">
    <w:name w:val="Título 1 Car"/>
    <w:link w:val="Ttulo1"/>
    <w:uiPriority w:val="9"/>
    <w:rsid w:val="00F6607B"/>
    <w:rPr>
      <w:rFonts w:ascii="Calibri Light" w:eastAsia="Times New Roman" w:hAnsi="Calibri Light"/>
      <w:color w:val="2F5496"/>
      <w:kern w:val="2"/>
      <w:sz w:val="40"/>
      <w:szCs w:val="40"/>
      <w:lang w:eastAsia="en-US"/>
    </w:rPr>
  </w:style>
  <w:style w:type="character" w:customStyle="1" w:styleId="Ttulo2Car">
    <w:name w:val="Título 2 Car"/>
    <w:link w:val="Ttulo2"/>
    <w:uiPriority w:val="9"/>
    <w:semiHidden/>
    <w:rsid w:val="00F6607B"/>
    <w:rPr>
      <w:rFonts w:ascii="Calibri Light" w:eastAsia="Times New Roman" w:hAnsi="Calibri Light"/>
      <w:color w:val="2F5496"/>
      <w:kern w:val="2"/>
      <w:sz w:val="32"/>
      <w:szCs w:val="32"/>
      <w:lang w:eastAsia="en-US"/>
    </w:rPr>
  </w:style>
  <w:style w:type="character" w:customStyle="1" w:styleId="Ttulo3Car">
    <w:name w:val="Título 3 Car"/>
    <w:link w:val="Ttulo3"/>
    <w:uiPriority w:val="9"/>
    <w:semiHidden/>
    <w:rsid w:val="00F6607B"/>
    <w:rPr>
      <w:rFonts w:eastAsia="Times New Roman"/>
      <w:color w:val="2F5496"/>
      <w:kern w:val="2"/>
      <w:sz w:val="28"/>
      <w:szCs w:val="28"/>
      <w:lang w:eastAsia="en-US"/>
    </w:rPr>
  </w:style>
  <w:style w:type="character" w:customStyle="1" w:styleId="Ttulo4Car">
    <w:name w:val="Título 4 Car"/>
    <w:link w:val="Ttulo4"/>
    <w:uiPriority w:val="9"/>
    <w:semiHidden/>
    <w:rsid w:val="00F6607B"/>
    <w:rPr>
      <w:rFonts w:eastAsia="Times New Roman"/>
      <w:i/>
      <w:iCs/>
      <w:color w:val="2F5496"/>
      <w:kern w:val="2"/>
      <w:sz w:val="22"/>
      <w:szCs w:val="22"/>
      <w:lang w:eastAsia="en-US"/>
    </w:rPr>
  </w:style>
  <w:style w:type="character" w:customStyle="1" w:styleId="Ttulo5Car">
    <w:name w:val="Título 5 Car"/>
    <w:link w:val="Ttulo5"/>
    <w:uiPriority w:val="9"/>
    <w:semiHidden/>
    <w:rsid w:val="00F6607B"/>
    <w:rPr>
      <w:rFonts w:eastAsia="Times New Roman"/>
      <w:color w:val="2F5496"/>
      <w:kern w:val="2"/>
      <w:sz w:val="22"/>
      <w:szCs w:val="22"/>
      <w:lang w:eastAsia="en-US"/>
    </w:rPr>
  </w:style>
  <w:style w:type="character" w:customStyle="1" w:styleId="Ttulo6Car">
    <w:name w:val="Título 6 Car"/>
    <w:link w:val="Ttulo6"/>
    <w:uiPriority w:val="9"/>
    <w:semiHidden/>
    <w:rsid w:val="00F6607B"/>
    <w:rPr>
      <w:rFonts w:eastAsia="Times New Roman"/>
      <w:i/>
      <w:iCs/>
      <w:color w:val="595959"/>
      <w:kern w:val="2"/>
      <w:sz w:val="22"/>
      <w:szCs w:val="22"/>
      <w:lang w:eastAsia="en-US"/>
    </w:rPr>
  </w:style>
  <w:style w:type="character" w:customStyle="1" w:styleId="Ttulo7Car">
    <w:name w:val="Título 7 Car"/>
    <w:link w:val="Ttulo7"/>
    <w:uiPriority w:val="9"/>
    <w:semiHidden/>
    <w:rsid w:val="00F6607B"/>
    <w:rPr>
      <w:rFonts w:eastAsia="Times New Roman"/>
      <w:color w:val="595959"/>
      <w:kern w:val="2"/>
      <w:sz w:val="22"/>
      <w:szCs w:val="22"/>
      <w:lang w:eastAsia="en-US"/>
    </w:rPr>
  </w:style>
  <w:style w:type="character" w:customStyle="1" w:styleId="Ttulo8Car">
    <w:name w:val="Título 8 Car"/>
    <w:link w:val="Ttulo8"/>
    <w:uiPriority w:val="9"/>
    <w:semiHidden/>
    <w:rsid w:val="00F6607B"/>
    <w:rPr>
      <w:rFonts w:eastAsia="Times New Roman"/>
      <w:i/>
      <w:iCs/>
      <w:color w:val="272727"/>
      <w:kern w:val="2"/>
      <w:sz w:val="22"/>
      <w:szCs w:val="22"/>
      <w:lang w:eastAsia="en-US"/>
    </w:rPr>
  </w:style>
  <w:style w:type="character" w:customStyle="1" w:styleId="Ttulo9Car">
    <w:name w:val="Título 9 Car"/>
    <w:link w:val="Ttulo9"/>
    <w:uiPriority w:val="9"/>
    <w:semiHidden/>
    <w:rsid w:val="00F6607B"/>
    <w:rPr>
      <w:rFonts w:eastAsia="Times New Roman"/>
      <w:color w:val="272727"/>
      <w:kern w:val="2"/>
      <w:sz w:val="22"/>
      <w:szCs w:val="22"/>
      <w:lang w:eastAsia="en-US"/>
    </w:rPr>
  </w:style>
  <w:style w:type="paragraph" w:styleId="Ttulo">
    <w:name w:val="Title"/>
    <w:basedOn w:val="Normal"/>
    <w:next w:val="Normal"/>
    <w:link w:val="TtuloCar"/>
    <w:uiPriority w:val="10"/>
    <w:qFormat/>
    <w:rsid w:val="00F6607B"/>
    <w:pPr>
      <w:spacing w:after="80" w:line="240" w:lineRule="auto"/>
      <w:contextualSpacing/>
    </w:pPr>
    <w:rPr>
      <w:rFonts w:ascii="Calibri Light" w:eastAsia="Times New Roman" w:hAnsi="Calibri Light"/>
      <w:spacing w:val="-10"/>
      <w:kern w:val="28"/>
      <w:sz w:val="56"/>
      <w:szCs w:val="56"/>
      <w:lang w:val="es-MX"/>
    </w:rPr>
  </w:style>
  <w:style w:type="character" w:customStyle="1" w:styleId="TtuloCar">
    <w:name w:val="Título Car"/>
    <w:link w:val="Ttulo"/>
    <w:uiPriority w:val="10"/>
    <w:rsid w:val="00F6607B"/>
    <w:rPr>
      <w:rFonts w:ascii="Calibri Light" w:eastAsia="Times New Roman" w:hAnsi="Calibri Light"/>
      <w:spacing w:val="-10"/>
      <w:kern w:val="28"/>
      <w:sz w:val="56"/>
      <w:szCs w:val="56"/>
      <w:lang w:eastAsia="en-US"/>
    </w:rPr>
  </w:style>
  <w:style w:type="paragraph" w:styleId="Subttulo">
    <w:name w:val="Subtitle"/>
    <w:basedOn w:val="Normal"/>
    <w:next w:val="Normal"/>
    <w:link w:val="SubttuloCar"/>
    <w:uiPriority w:val="11"/>
    <w:qFormat/>
    <w:rsid w:val="00F6607B"/>
    <w:pPr>
      <w:numPr>
        <w:ilvl w:val="1"/>
      </w:numPr>
      <w:spacing w:after="160" w:line="259" w:lineRule="auto"/>
    </w:pPr>
    <w:rPr>
      <w:rFonts w:eastAsia="Times New Roman"/>
      <w:color w:val="595959"/>
      <w:spacing w:val="15"/>
      <w:kern w:val="2"/>
      <w:sz w:val="28"/>
      <w:szCs w:val="28"/>
      <w:lang w:val="es-MX"/>
    </w:rPr>
  </w:style>
  <w:style w:type="character" w:customStyle="1" w:styleId="SubttuloCar">
    <w:name w:val="Subtítulo Car"/>
    <w:link w:val="Subttulo"/>
    <w:uiPriority w:val="11"/>
    <w:rsid w:val="00F6607B"/>
    <w:rPr>
      <w:rFonts w:eastAsia="Times New Roman"/>
      <w:color w:val="595959"/>
      <w:spacing w:val="15"/>
      <w:kern w:val="2"/>
      <w:sz w:val="28"/>
      <w:szCs w:val="28"/>
      <w:lang w:eastAsia="en-US"/>
    </w:rPr>
  </w:style>
  <w:style w:type="paragraph" w:styleId="Cita">
    <w:name w:val="Quote"/>
    <w:basedOn w:val="Normal"/>
    <w:next w:val="Normal"/>
    <w:link w:val="CitaCar"/>
    <w:uiPriority w:val="29"/>
    <w:qFormat/>
    <w:rsid w:val="00F6607B"/>
    <w:pPr>
      <w:spacing w:before="160" w:after="160" w:line="259" w:lineRule="auto"/>
      <w:jc w:val="center"/>
    </w:pPr>
    <w:rPr>
      <w:i/>
      <w:iCs/>
      <w:color w:val="404040"/>
      <w:kern w:val="2"/>
      <w:lang w:val="es-MX"/>
    </w:rPr>
  </w:style>
  <w:style w:type="character" w:customStyle="1" w:styleId="CitaCar">
    <w:name w:val="Cita Car"/>
    <w:link w:val="Cita"/>
    <w:uiPriority w:val="29"/>
    <w:rsid w:val="00F6607B"/>
    <w:rPr>
      <w:i/>
      <w:iCs/>
      <w:color w:val="404040"/>
      <w:kern w:val="2"/>
      <w:sz w:val="22"/>
      <w:szCs w:val="22"/>
      <w:lang w:eastAsia="en-US"/>
    </w:rPr>
  </w:style>
  <w:style w:type="character" w:styleId="nfasisintenso">
    <w:name w:val="Intense Emphasis"/>
    <w:uiPriority w:val="21"/>
    <w:qFormat/>
    <w:rsid w:val="00F6607B"/>
    <w:rPr>
      <w:i/>
      <w:iCs/>
      <w:color w:val="2F5496"/>
    </w:rPr>
  </w:style>
  <w:style w:type="paragraph" w:styleId="Citadestacada">
    <w:name w:val="Intense Quote"/>
    <w:basedOn w:val="Normal"/>
    <w:next w:val="Normal"/>
    <w:link w:val="CitadestacadaCar"/>
    <w:uiPriority w:val="30"/>
    <w:qFormat/>
    <w:rsid w:val="00F6607B"/>
    <w:pPr>
      <w:pBdr>
        <w:top w:val="single" w:sz="4" w:space="10" w:color="2F5496"/>
        <w:bottom w:val="single" w:sz="4" w:space="10" w:color="2F5496"/>
      </w:pBdr>
      <w:spacing w:before="360" w:after="360" w:line="259" w:lineRule="auto"/>
      <w:ind w:left="864" w:right="864"/>
      <w:jc w:val="center"/>
    </w:pPr>
    <w:rPr>
      <w:i/>
      <w:iCs/>
      <w:color w:val="2F5496"/>
      <w:kern w:val="2"/>
      <w:lang w:val="es-MX"/>
    </w:rPr>
  </w:style>
  <w:style w:type="character" w:customStyle="1" w:styleId="CitadestacadaCar">
    <w:name w:val="Cita destacada Car"/>
    <w:link w:val="Citadestacada"/>
    <w:uiPriority w:val="30"/>
    <w:rsid w:val="00F6607B"/>
    <w:rPr>
      <w:i/>
      <w:iCs/>
      <w:color w:val="2F5496"/>
      <w:kern w:val="2"/>
      <w:sz w:val="22"/>
      <w:szCs w:val="22"/>
      <w:lang w:eastAsia="en-US"/>
    </w:rPr>
  </w:style>
  <w:style w:type="character" w:styleId="Referenciaintensa">
    <w:name w:val="Intense Reference"/>
    <w:uiPriority w:val="32"/>
    <w:qFormat/>
    <w:rsid w:val="00F6607B"/>
    <w:rPr>
      <w:b/>
      <w:bCs/>
      <w:smallCaps/>
      <w:color w:val="2F5496"/>
      <w:spacing w:val="5"/>
    </w:rPr>
  </w:style>
  <w:style w:type="paragraph" w:styleId="Sinespaciado">
    <w:name w:val="No Spacing"/>
    <w:uiPriority w:val="1"/>
    <w:qFormat/>
    <w:rsid w:val="00F6607B"/>
    <w:rPr>
      <w:kern w:val="2"/>
      <w:sz w:val="22"/>
      <w:szCs w:val="22"/>
      <w:lang w:val="es-MX" w:eastAsia="en-US"/>
    </w:rPr>
  </w:style>
  <w:style w:type="table" w:styleId="Tablanormal1">
    <w:name w:val="Plain Table 1"/>
    <w:basedOn w:val="Tablanormal"/>
    <w:uiPriority w:val="41"/>
    <w:rsid w:val="00F6607B"/>
    <w:rPr>
      <w:kern w:val="2"/>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Textoennegrita">
    <w:name w:val="Strong"/>
    <w:uiPriority w:val="22"/>
    <w:qFormat/>
    <w:rsid w:val="00F6607B"/>
    <w:rPr>
      <w:b/>
      <w:bCs/>
    </w:rPr>
  </w:style>
  <w:style w:type="character" w:customStyle="1" w:styleId="pkpbadge">
    <w:name w:val="pkpbadge"/>
    <w:rsid w:val="00E520AA"/>
  </w:style>
  <w:style w:type="paragraph" w:customStyle="1" w:styleId="NormalAntony">
    <w:name w:val="NormalAntony"/>
    <w:basedOn w:val="Normal"/>
    <w:qFormat/>
    <w:rsid w:val="00CB0D27"/>
    <w:pPr>
      <w:autoSpaceDE w:val="0"/>
      <w:autoSpaceDN w:val="0"/>
      <w:adjustRightInd w:val="0"/>
      <w:spacing w:line="360" w:lineRule="auto"/>
      <w:jc w:val="both"/>
    </w:pPr>
    <w:rPr>
      <w:rFonts w:ascii="Arial" w:eastAsia="Times New Roman" w:hAnsi="Arial" w:cs="Arial"/>
      <w:bCs/>
      <w:sz w:val="24"/>
      <w:szCs w:val="24"/>
      <w:lang w:val="es-ES_tradnl" w:eastAsia="es-ES"/>
    </w:rPr>
  </w:style>
  <w:style w:type="paragraph" w:customStyle="1" w:styleId="Prrafobsico">
    <w:name w:val="[Párrafo básico]"/>
    <w:basedOn w:val="Normal"/>
    <w:uiPriority w:val="99"/>
    <w:rsid w:val="0070126F"/>
    <w:pPr>
      <w:autoSpaceDE w:val="0"/>
      <w:autoSpaceDN w:val="0"/>
      <w:adjustRightInd w:val="0"/>
      <w:spacing w:line="288" w:lineRule="auto"/>
      <w:textAlignment w:val="center"/>
    </w:pPr>
    <w:rPr>
      <w:rFonts w:ascii="Minion Pro" w:eastAsiaTheme="minorHAnsi" w:hAnsi="Minion Pro" w:cs="Minion Pro"/>
      <w:color w:val="000000"/>
      <w:sz w:val="24"/>
      <w:szCs w:val="24"/>
      <w:lang w:val="es-ES_tradnl"/>
    </w:rPr>
  </w:style>
  <w:style w:type="character" w:styleId="nfasis">
    <w:name w:val="Emphasis"/>
    <w:basedOn w:val="Fuentedeprrafopredeter"/>
    <w:uiPriority w:val="20"/>
    <w:qFormat/>
    <w:rsid w:val="00922C68"/>
    <w:rPr>
      <w:i/>
      <w:iCs/>
    </w:rPr>
  </w:style>
  <w:style w:type="paragraph" w:styleId="Textoindependiente">
    <w:name w:val="Body Text"/>
    <w:basedOn w:val="Normal"/>
    <w:link w:val="TextoindependienteCar"/>
    <w:uiPriority w:val="1"/>
    <w:qFormat/>
    <w:rsid w:val="0012291C"/>
    <w:pPr>
      <w:widowControl w:val="0"/>
      <w:autoSpaceDE w:val="0"/>
      <w:autoSpaceDN w:val="0"/>
      <w:spacing w:line="240" w:lineRule="auto"/>
    </w:pPr>
    <w:rPr>
      <w:rFonts w:ascii="Times New Roman" w:eastAsia="Times New Roman" w:hAnsi="Times New Roman"/>
      <w:sz w:val="24"/>
      <w:szCs w:val="24"/>
    </w:rPr>
  </w:style>
  <w:style w:type="character" w:customStyle="1" w:styleId="TextoindependienteCar">
    <w:name w:val="Texto independiente Car"/>
    <w:basedOn w:val="Fuentedeprrafopredeter"/>
    <w:link w:val="Textoindependiente"/>
    <w:uiPriority w:val="1"/>
    <w:rsid w:val="0012291C"/>
    <w:rPr>
      <w:rFonts w:ascii="Times New Roman" w:eastAsia="Times New Roman" w:hAnsi="Times New Roman"/>
      <w:sz w:val="24"/>
      <w:szCs w:val="24"/>
      <w:lang w:val="es-ES" w:eastAsia="en-US"/>
    </w:rPr>
  </w:style>
  <w:style w:type="paragraph" w:customStyle="1" w:styleId="pdq2pgselectionanchorcontainer">
    <w:name w:val="pdq2pg_selectionanchorcontainer"/>
    <w:basedOn w:val="Normal"/>
    <w:rsid w:val="00407CEF"/>
    <w:pPr>
      <w:spacing w:before="100" w:beforeAutospacing="1" w:after="100" w:afterAutospacing="1" w:line="240" w:lineRule="auto"/>
    </w:pPr>
    <w:rPr>
      <w:rFonts w:ascii="Times New Roman" w:eastAsia="Times New Roman" w:hAnsi="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635758">
      <w:bodyDiv w:val="1"/>
      <w:marLeft w:val="0"/>
      <w:marRight w:val="0"/>
      <w:marTop w:val="0"/>
      <w:marBottom w:val="0"/>
      <w:divBdr>
        <w:top w:val="none" w:sz="0" w:space="0" w:color="auto"/>
        <w:left w:val="none" w:sz="0" w:space="0" w:color="auto"/>
        <w:bottom w:val="none" w:sz="0" w:space="0" w:color="auto"/>
        <w:right w:val="none" w:sz="0" w:space="0" w:color="auto"/>
      </w:divBdr>
    </w:div>
    <w:div w:id="304773525">
      <w:bodyDiv w:val="1"/>
      <w:marLeft w:val="0"/>
      <w:marRight w:val="0"/>
      <w:marTop w:val="0"/>
      <w:marBottom w:val="0"/>
      <w:divBdr>
        <w:top w:val="none" w:sz="0" w:space="0" w:color="auto"/>
        <w:left w:val="none" w:sz="0" w:space="0" w:color="auto"/>
        <w:bottom w:val="none" w:sz="0" w:space="0" w:color="auto"/>
        <w:right w:val="none" w:sz="0" w:space="0" w:color="auto"/>
      </w:divBdr>
    </w:div>
    <w:div w:id="454830661">
      <w:bodyDiv w:val="1"/>
      <w:marLeft w:val="0"/>
      <w:marRight w:val="0"/>
      <w:marTop w:val="0"/>
      <w:marBottom w:val="0"/>
      <w:divBdr>
        <w:top w:val="none" w:sz="0" w:space="0" w:color="auto"/>
        <w:left w:val="none" w:sz="0" w:space="0" w:color="auto"/>
        <w:bottom w:val="none" w:sz="0" w:space="0" w:color="auto"/>
        <w:right w:val="none" w:sz="0" w:space="0" w:color="auto"/>
      </w:divBdr>
      <w:divsChild>
        <w:div w:id="422382903">
          <w:marLeft w:val="0"/>
          <w:marRight w:val="0"/>
          <w:marTop w:val="240"/>
          <w:marBottom w:val="240"/>
          <w:divBdr>
            <w:top w:val="none" w:sz="0" w:space="0" w:color="auto"/>
            <w:left w:val="none" w:sz="0" w:space="0" w:color="auto"/>
            <w:bottom w:val="none" w:sz="0" w:space="0" w:color="auto"/>
            <w:right w:val="none" w:sz="0" w:space="0" w:color="auto"/>
          </w:divBdr>
        </w:div>
        <w:div w:id="1257208209">
          <w:marLeft w:val="0"/>
          <w:marRight w:val="0"/>
          <w:marTop w:val="240"/>
          <w:marBottom w:val="240"/>
          <w:divBdr>
            <w:top w:val="none" w:sz="0" w:space="0" w:color="auto"/>
            <w:left w:val="none" w:sz="0" w:space="0" w:color="auto"/>
            <w:bottom w:val="none" w:sz="0" w:space="0" w:color="auto"/>
            <w:right w:val="none" w:sz="0" w:space="0" w:color="auto"/>
          </w:divBdr>
        </w:div>
        <w:div w:id="1365787254">
          <w:marLeft w:val="0"/>
          <w:marRight w:val="0"/>
          <w:marTop w:val="240"/>
          <w:marBottom w:val="240"/>
          <w:divBdr>
            <w:top w:val="none" w:sz="0" w:space="0" w:color="auto"/>
            <w:left w:val="none" w:sz="0" w:space="0" w:color="auto"/>
            <w:bottom w:val="none" w:sz="0" w:space="0" w:color="auto"/>
            <w:right w:val="none" w:sz="0" w:space="0" w:color="auto"/>
          </w:divBdr>
        </w:div>
        <w:div w:id="1822885659">
          <w:marLeft w:val="0"/>
          <w:marRight w:val="0"/>
          <w:marTop w:val="240"/>
          <w:marBottom w:val="240"/>
          <w:divBdr>
            <w:top w:val="none" w:sz="0" w:space="0" w:color="auto"/>
            <w:left w:val="none" w:sz="0" w:space="0" w:color="auto"/>
            <w:bottom w:val="none" w:sz="0" w:space="0" w:color="auto"/>
            <w:right w:val="none" w:sz="0" w:space="0" w:color="auto"/>
          </w:divBdr>
        </w:div>
        <w:div w:id="1993561215">
          <w:marLeft w:val="0"/>
          <w:marRight w:val="0"/>
          <w:marTop w:val="240"/>
          <w:marBottom w:val="240"/>
          <w:divBdr>
            <w:top w:val="none" w:sz="0" w:space="0" w:color="auto"/>
            <w:left w:val="none" w:sz="0" w:space="0" w:color="auto"/>
            <w:bottom w:val="none" w:sz="0" w:space="0" w:color="auto"/>
            <w:right w:val="none" w:sz="0" w:space="0" w:color="auto"/>
          </w:divBdr>
        </w:div>
      </w:divsChild>
    </w:div>
    <w:div w:id="516775238">
      <w:bodyDiv w:val="1"/>
      <w:marLeft w:val="0"/>
      <w:marRight w:val="0"/>
      <w:marTop w:val="0"/>
      <w:marBottom w:val="0"/>
      <w:divBdr>
        <w:top w:val="none" w:sz="0" w:space="0" w:color="auto"/>
        <w:left w:val="none" w:sz="0" w:space="0" w:color="auto"/>
        <w:bottom w:val="none" w:sz="0" w:space="0" w:color="auto"/>
        <w:right w:val="none" w:sz="0" w:space="0" w:color="auto"/>
      </w:divBdr>
    </w:div>
    <w:div w:id="518200051">
      <w:bodyDiv w:val="1"/>
      <w:marLeft w:val="0"/>
      <w:marRight w:val="0"/>
      <w:marTop w:val="0"/>
      <w:marBottom w:val="0"/>
      <w:divBdr>
        <w:top w:val="none" w:sz="0" w:space="0" w:color="auto"/>
        <w:left w:val="none" w:sz="0" w:space="0" w:color="auto"/>
        <w:bottom w:val="none" w:sz="0" w:space="0" w:color="auto"/>
        <w:right w:val="none" w:sz="0" w:space="0" w:color="auto"/>
      </w:divBdr>
    </w:div>
    <w:div w:id="779380515">
      <w:bodyDiv w:val="1"/>
      <w:marLeft w:val="0"/>
      <w:marRight w:val="0"/>
      <w:marTop w:val="0"/>
      <w:marBottom w:val="0"/>
      <w:divBdr>
        <w:top w:val="none" w:sz="0" w:space="0" w:color="auto"/>
        <w:left w:val="none" w:sz="0" w:space="0" w:color="auto"/>
        <w:bottom w:val="none" w:sz="0" w:space="0" w:color="auto"/>
        <w:right w:val="none" w:sz="0" w:space="0" w:color="auto"/>
      </w:divBdr>
    </w:div>
    <w:div w:id="809058078">
      <w:bodyDiv w:val="1"/>
      <w:marLeft w:val="0"/>
      <w:marRight w:val="0"/>
      <w:marTop w:val="0"/>
      <w:marBottom w:val="0"/>
      <w:divBdr>
        <w:top w:val="none" w:sz="0" w:space="0" w:color="auto"/>
        <w:left w:val="none" w:sz="0" w:space="0" w:color="auto"/>
        <w:bottom w:val="none" w:sz="0" w:space="0" w:color="auto"/>
        <w:right w:val="none" w:sz="0" w:space="0" w:color="auto"/>
      </w:divBdr>
      <w:divsChild>
        <w:div w:id="51925349">
          <w:marLeft w:val="0"/>
          <w:marRight w:val="0"/>
          <w:marTop w:val="0"/>
          <w:marBottom w:val="0"/>
          <w:divBdr>
            <w:top w:val="none" w:sz="0" w:space="0" w:color="auto"/>
            <w:left w:val="none" w:sz="0" w:space="0" w:color="auto"/>
            <w:bottom w:val="none" w:sz="0" w:space="0" w:color="auto"/>
            <w:right w:val="none" w:sz="0" w:space="0" w:color="auto"/>
          </w:divBdr>
        </w:div>
        <w:div w:id="246380983">
          <w:marLeft w:val="0"/>
          <w:marRight w:val="0"/>
          <w:marTop w:val="0"/>
          <w:marBottom w:val="0"/>
          <w:divBdr>
            <w:top w:val="none" w:sz="0" w:space="0" w:color="auto"/>
            <w:left w:val="none" w:sz="0" w:space="0" w:color="auto"/>
            <w:bottom w:val="none" w:sz="0" w:space="0" w:color="auto"/>
            <w:right w:val="none" w:sz="0" w:space="0" w:color="auto"/>
          </w:divBdr>
        </w:div>
        <w:div w:id="539363395">
          <w:marLeft w:val="0"/>
          <w:marRight w:val="0"/>
          <w:marTop w:val="0"/>
          <w:marBottom w:val="0"/>
          <w:divBdr>
            <w:top w:val="none" w:sz="0" w:space="0" w:color="auto"/>
            <w:left w:val="none" w:sz="0" w:space="0" w:color="auto"/>
            <w:bottom w:val="none" w:sz="0" w:space="0" w:color="auto"/>
            <w:right w:val="none" w:sz="0" w:space="0" w:color="auto"/>
          </w:divBdr>
        </w:div>
        <w:div w:id="1770733412">
          <w:marLeft w:val="0"/>
          <w:marRight w:val="0"/>
          <w:marTop w:val="0"/>
          <w:marBottom w:val="0"/>
          <w:divBdr>
            <w:top w:val="none" w:sz="0" w:space="0" w:color="auto"/>
            <w:left w:val="none" w:sz="0" w:space="0" w:color="auto"/>
            <w:bottom w:val="none" w:sz="0" w:space="0" w:color="auto"/>
            <w:right w:val="none" w:sz="0" w:space="0" w:color="auto"/>
          </w:divBdr>
        </w:div>
        <w:div w:id="1777142151">
          <w:marLeft w:val="0"/>
          <w:marRight w:val="0"/>
          <w:marTop w:val="0"/>
          <w:marBottom w:val="0"/>
          <w:divBdr>
            <w:top w:val="none" w:sz="0" w:space="0" w:color="auto"/>
            <w:left w:val="none" w:sz="0" w:space="0" w:color="auto"/>
            <w:bottom w:val="none" w:sz="0" w:space="0" w:color="auto"/>
            <w:right w:val="none" w:sz="0" w:space="0" w:color="auto"/>
          </w:divBdr>
        </w:div>
        <w:div w:id="1824009583">
          <w:marLeft w:val="0"/>
          <w:marRight w:val="0"/>
          <w:marTop w:val="0"/>
          <w:marBottom w:val="0"/>
          <w:divBdr>
            <w:top w:val="none" w:sz="0" w:space="0" w:color="auto"/>
            <w:left w:val="none" w:sz="0" w:space="0" w:color="auto"/>
            <w:bottom w:val="none" w:sz="0" w:space="0" w:color="auto"/>
            <w:right w:val="none" w:sz="0" w:space="0" w:color="auto"/>
          </w:divBdr>
        </w:div>
        <w:div w:id="1931505267">
          <w:marLeft w:val="0"/>
          <w:marRight w:val="0"/>
          <w:marTop w:val="0"/>
          <w:marBottom w:val="0"/>
          <w:divBdr>
            <w:top w:val="none" w:sz="0" w:space="0" w:color="auto"/>
            <w:left w:val="none" w:sz="0" w:space="0" w:color="auto"/>
            <w:bottom w:val="none" w:sz="0" w:space="0" w:color="auto"/>
            <w:right w:val="none" w:sz="0" w:space="0" w:color="auto"/>
          </w:divBdr>
        </w:div>
        <w:div w:id="2011442155">
          <w:marLeft w:val="0"/>
          <w:marRight w:val="0"/>
          <w:marTop w:val="0"/>
          <w:marBottom w:val="0"/>
          <w:divBdr>
            <w:top w:val="none" w:sz="0" w:space="0" w:color="auto"/>
            <w:left w:val="none" w:sz="0" w:space="0" w:color="auto"/>
            <w:bottom w:val="none" w:sz="0" w:space="0" w:color="auto"/>
            <w:right w:val="none" w:sz="0" w:space="0" w:color="auto"/>
          </w:divBdr>
        </w:div>
      </w:divsChild>
    </w:div>
    <w:div w:id="937255620">
      <w:bodyDiv w:val="1"/>
      <w:marLeft w:val="0"/>
      <w:marRight w:val="0"/>
      <w:marTop w:val="0"/>
      <w:marBottom w:val="0"/>
      <w:divBdr>
        <w:top w:val="none" w:sz="0" w:space="0" w:color="auto"/>
        <w:left w:val="none" w:sz="0" w:space="0" w:color="auto"/>
        <w:bottom w:val="none" w:sz="0" w:space="0" w:color="auto"/>
        <w:right w:val="none" w:sz="0" w:space="0" w:color="auto"/>
      </w:divBdr>
    </w:div>
    <w:div w:id="958873669">
      <w:bodyDiv w:val="1"/>
      <w:marLeft w:val="0"/>
      <w:marRight w:val="0"/>
      <w:marTop w:val="0"/>
      <w:marBottom w:val="0"/>
      <w:divBdr>
        <w:top w:val="none" w:sz="0" w:space="0" w:color="auto"/>
        <w:left w:val="none" w:sz="0" w:space="0" w:color="auto"/>
        <w:bottom w:val="none" w:sz="0" w:space="0" w:color="auto"/>
        <w:right w:val="none" w:sz="0" w:space="0" w:color="auto"/>
      </w:divBdr>
      <w:divsChild>
        <w:div w:id="19286947">
          <w:marLeft w:val="0"/>
          <w:marRight w:val="0"/>
          <w:marTop w:val="240"/>
          <w:marBottom w:val="240"/>
          <w:divBdr>
            <w:top w:val="none" w:sz="0" w:space="0" w:color="auto"/>
            <w:left w:val="none" w:sz="0" w:space="0" w:color="auto"/>
            <w:bottom w:val="none" w:sz="0" w:space="0" w:color="auto"/>
            <w:right w:val="none" w:sz="0" w:space="0" w:color="auto"/>
          </w:divBdr>
        </w:div>
        <w:div w:id="689137440">
          <w:marLeft w:val="0"/>
          <w:marRight w:val="0"/>
          <w:marTop w:val="240"/>
          <w:marBottom w:val="240"/>
          <w:divBdr>
            <w:top w:val="none" w:sz="0" w:space="0" w:color="auto"/>
            <w:left w:val="none" w:sz="0" w:space="0" w:color="auto"/>
            <w:bottom w:val="none" w:sz="0" w:space="0" w:color="auto"/>
            <w:right w:val="none" w:sz="0" w:space="0" w:color="auto"/>
          </w:divBdr>
        </w:div>
        <w:div w:id="1050306712">
          <w:marLeft w:val="0"/>
          <w:marRight w:val="0"/>
          <w:marTop w:val="240"/>
          <w:marBottom w:val="240"/>
          <w:divBdr>
            <w:top w:val="none" w:sz="0" w:space="0" w:color="auto"/>
            <w:left w:val="none" w:sz="0" w:space="0" w:color="auto"/>
            <w:bottom w:val="none" w:sz="0" w:space="0" w:color="auto"/>
            <w:right w:val="none" w:sz="0" w:space="0" w:color="auto"/>
          </w:divBdr>
        </w:div>
        <w:div w:id="1059088281">
          <w:marLeft w:val="0"/>
          <w:marRight w:val="0"/>
          <w:marTop w:val="240"/>
          <w:marBottom w:val="240"/>
          <w:divBdr>
            <w:top w:val="none" w:sz="0" w:space="0" w:color="auto"/>
            <w:left w:val="none" w:sz="0" w:space="0" w:color="auto"/>
            <w:bottom w:val="none" w:sz="0" w:space="0" w:color="auto"/>
            <w:right w:val="none" w:sz="0" w:space="0" w:color="auto"/>
          </w:divBdr>
        </w:div>
        <w:div w:id="1775519697">
          <w:marLeft w:val="0"/>
          <w:marRight w:val="0"/>
          <w:marTop w:val="240"/>
          <w:marBottom w:val="240"/>
          <w:divBdr>
            <w:top w:val="none" w:sz="0" w:space="0" w:color="auto"/>
            <w:left w:val="none" w:sz="0" w:space="0" w:color="auto"/>
            <w:bottom w:val="none" w:sz="0" w:space="0" w:color="auto"/>
            <w:right w:val="none" w:sz="0" w:space="0" w:color="auto"/>
          </w:divBdr>
        </w:div>
      </w:divsChild>
    </w:div>
    <w:div w:id="1038970239">
      <w:bodyDiv w:val="1"/>
      <w:marLeft w:val="0"/>
      <w:marRight w:val="0"/>
      <w:marTop w:val="0"/>
      <w:marBottom w:val="0"/>
      <w:divBdr>
        <w:top w:val="none" w:sz="0" w:space="0" w:color="auto"/>
        <w:left w:val="none" w:sz="0" w:space="0" w:color="auto"/>
        <w:bottom w:val="none" w:sz="0" w:space="0" w:color="auto"/>
        <w:right w:val="none" w:sz="0" w:space="0" w:color="auto"/>
      </w:divBdr>
      <w:divsChild>
        <w:div w:id="1687101776">
          <w:blockQuote w:val="1"/>
          <w:marLeft w:val="720"/>
          <w:marRight w:val="720"/>
          <w:marTop w:val="100"/>
          <w:marBottom w:val="100"/>
          <w:divBdr>
            <w:top w:val="none" w:sz="0" w:space="0" w:color="auto"/>
            <w:left w:val="none" w:sz="0" w:space="0" w:color="auto"/>
            <w:bottom w:val="none" w:sz="0" w:space="0" w:color="auto"/>
            <w:right w:val="none" w:sz="0" w:space="0" w:color="auto"/>
          </w:divBdr>
        </w:div>
        <w:div w:id="387337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5077485">
      <w:bodyDiv w:val="1"/>
      <w:marLeft w:val="0"/>
      <w:marRight w:val="0"/>
      <w:marTop w:val="0"/>
      <w:marBottom w:val="0"/>
      <w:divBdr>
        <w:top w:val="none" w:sz="0" w:space="0" w:color="auto"/>
        <w:left w:val="none" w:sz="0" w:space="0" w:color="auto"/>
        <w:bottom w:val="none" w:sz="0" w:space="0" w:color="auto"/>
        <w:right w:val="none" w:sz="0" w:space="0" w:color="auto"/>
      </w:divBdr>
    </w:div>
    <w:div w:id="1563297673">
      <w:bodyDiv w:val="1"/>
      <w:marLeft w:val="0"/>
      <w:marRight w:val="0"/>
      <w:marTop w:val="0"/>
      <w:marBottom w:val="0"/>
      <w:divBdr>
        <w:top w:val="none" w:sz="0" w:space="0" w:color="auto"/>
        <w:left w:val="none" w:sz="0" w:space="0" w:color="auto"/>
        <w:bottom w:val="none" w:sz="0" w:space="0" w:color="auto"/>
        <w:right w:val="none" w:sz="0" w:space="0" w:color="auto"/>
      </w:divBdr>
    </w:div>
    <w:div w:id="1740981294">
      <w:bodyDiv w:val="1"/>
      <w:marLeft w:val="0"/>
      <w:marRight w:val="0"/>
      <w:marTop w:val="0"/>
      <w:marBottom w:val="0"/>
      <w:divBdr>
        <w:top w:val="none" w:sz="0" w:space="0" w:color="auto"/>
        <w:left w:val="none" w:sz="0" w:space="0" w:color="auto"/>
        <w:bottom w:val="none" w:sz="0" w:space="0" w:color="auto"/>
        <w:right w:val="none" w:sz="0" w:space="0" w:color="auto"/>
      </w:divBdr>
    </w:div>
    <w:div w:id="2079935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jvillalobosl7500@egresado.ipn.mx" TargetMode="External"/><Relationship Id="rId26" Type="http://schemas.openxmlformats.org/officeDocument/2006/relationships/hyperlink" Target="https://tramites.jalisco.gob.mx/catalogo.jalisco/ciudadania/servicios/tramite/JAL-DP-0009" TargetMode="External"/><Relationship Id="rId21" Type="http://schemas.openxmlformats.org/officeDocument/2006/relationships/hyperlink" Target="http://www.anuies.mx/informacionyservicios/informacionestadisticadeeducacion-superior/anuario-estadistico-de-educacion-superior" TargetMode="External"/><Relationship Id="rId34" Type="http://schemas.openxmlformats.org/officeDocument/2006/relationships/hyperlink" Target="http://rixplora.upn.mx/jspui/bitstream/RIUPN/143595/2/1906UPN092MDELIMO2022.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orcid.org/0000-0001-5198-6058" TargetMode="External"/><Relationship Id="rId25" Type="http://schemas.openxmlformats.org/officeDocument/2006/relationships/hyperlink" Target="https://www.seg.guanajuato.gob.mx/Profesionistas/Documents/Cedula/CEDULA_PROFESIONAL_ESTATAL.pdf" TargetMode="External"/><Relationship Id="rId33" Type="http://schemas.openxmlformats.org/officeDocument/2006/relationships/hyperlink" Target="https://www.diputados.gob.mx/LeyesBiblio/pdf/208_190118.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jvillalobosl7500@egresado.ipn.mx" TargetMode="External"/><Relationship Id="rId20" Type="http://schemas.openxmlformats.org/officeDocument/2006/relationships/hyperlink" Target="https://doi.org/10.36888/udual.universidades.2023.97.700" TargetMode="External"/><Relationship Id="rId29" Type="http://schemas.openxmlformats.org/officeDocument/2006/relationships/hyperlink" Target="https://see.michoacan.gob.mx/michoacan-expidecedulasprofesionalesconvalide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retys.bajacalifornia.gob.mx/Portal/TyS/14-95?perfilId=7" TargetMode="External"/><Relationship Id="rId32" Type="http://schemas.openxmlformats.org/officeDocument/2006/relationships/hyperlink" Target="https://www.diputados.gob.mx/LeyesBiblio/pdf/LGES_200421.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biblat.unam.mx/hevila/Alegatos/2013/no85/13.pdf" TargetMode="External"/><Relationship Id="rId28" Type="http://schemas.openxmlformats.org/officeDocument/2006/relationships/hyperlink" Target="https://tramites.michoacan.gob.mx/" TargetMode="External"/><Relationship Id="rId36" Type="http://schemas.openxmlformats.org/officeDocument/2006/relationships/hyperlink" Target="https://mpra.ub.uni-muenchen.de/104480/" TargetMode="External"/><Relationship Id="rId10" Type="http://schemas.openxmlformats.org/officeDocument/2006/relationships/hyperlink" Target="https://doi.org/10.35756/educaumch.202322.274" TargetMode="External"/><Relationship Id="rId19" Type="http://schemas.openxmlformats.org/officeDocument/2006/relationships/hyperlink" Target="https://www.altonivel.com.mx/que-es-la-cedula-profesional-y-para-que-sirve/" TargetMode="External"/><Relationship Id="rId31" Type="http://schemas.openxmlformats.org/officeDocument/2006/relationships/hyperlink" Target="https://www.diputados.gob.mx/LeyesBiblio/pdf/LGE.pdf" TargetMode="External"/><Relationship Id="rId4" Type="http://schemas.openxmlformats.org/officeDocument/2006/relationships/settings" Target="settings.xml"/><Relationship Id="rId9" Type="http://schemas.openxmlformats.org/officeDocument/2006/relationships/hyperlink" Target="https://doi.org/10.35756/educaumch.202322.274" TargetMode="External"/><Relationship Id="rId14" Type="http://schemas.openxmlformats.org/officeDocument/2006/relationships/footer" Target="footer2.xml"/><Relationship Id="rId22" Type="http://schemas.openxmlformats.org/officeDocument/2006/relationships/hyperlink" Target="https://www.diputados.gob.mx/LeyesBiblio/pdf/CPEUM.pdf" TargetMode="External"/><Relationship Id="rId27" Type="http://schemas.openxmlformats.org/officeDocument/2006/relationships/hyperlink" Target="https://profesiones.edomex.gob.mx/cedula" TargetMode="External"/><Relationship Id="rId30" Type="http://schemas.openxmlformats.org/officeDocument/2006/relationships/hyperlink" Target="https://tramites.nayarit.gob.mx/reportes/index/39" TargetMode="External"/><Relationship Id="rId35" Type="http://schemas.openxmlformats.org/officeDocument/2006/relationships/hyperlink" Target="https://www.scjn.gob.mx/sites/default/files/listas/documento_dos/202212/466.pdf" TargetMode="External"/><Relationship Id="rId8" Type="http://schemas.openxmlformats.org/officeDocument/2006/relationships/hyperlink" Target="https://doi.org/10.35756/educaumc" TargetMode="Externa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doi.org/10.35756/educaumch.202322.2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23920-761B-4EDE-BA7F-AA213A49F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7552</Words>
  <Characters>41540</Characters>
  <Application>Microsoft Office Word</Application>
  <DocSecurity>0</DocSecurity>
  <Lines>346</Lines>
  <Paragraphs>97</Paragraphs>
  <ScaleCrop>false</ScaleCrop>
  <HeadingPairs>
    <vt:vector size="2" baseType="variant">
      <vt:variant>
        <vt:lpstr>Título</vt:lpstr>
      </vt:variant>
      <vt:variant>
        <vt:i4>1</vt:i4>
      </vt:variant>
    </vt:vector>
  </HeadingPairs>
  <TitlesOfParts>
    <vt:vector size="1" baseType="lpstr">
      <vt:lpstr>Como citar                                                                Villalobos, J. A. (2025). Gestión educativa y reconocimiento oficial de estudios superiores en México: validez de estudios, titulación y cédulas profesionales (2024). Revista EDUCA</vt:lpstr>
    </vt:vector>
  </TitlesOfParts>
  <Company/>
  <LinksUpToDate>false</LinksUpToDate>
  <CharactersWithSpaces>48995</CharactersWithSpaces>
  <SharedDoc>false</SharedDoc>
  <HLinks>
    <vt:vector size="294" baseType="variant">
      <vt:variant>
        <vt:i4>852036</vt:i4>
      </vt:variant>
      <vt:variant>
        <vt:i4>135</vt:i4>
      </vt:variant>
      <vt:variant>
        <vt:i4>0</vt:i4>
      </vt:variant>
      <vt:variant>
        <vt:i4>5</vt:i4>
      </vt:variant>
      <vt:variant>
        <vt:lpwstr>https://www.proceso.com.mx/opinion/2024/5/21/taddei-cedula-profesional-todo-en-orden-329420.html</vt:lpwstr>
      </vt:variant>
      <vt:variant>
        <vt:lpwstr/>
      </vt:variant>
      <vt:variant>
        <vt:i4>7995511</vt:i4>
      </vt:variant>
      <vt:variant>
        <vt:i4>132</vt:i4>
      </vt:variant>
      <vt:variant>
        <vt:i4>0</vt:i4>
      </vt:variant>
      <vt:variant>
        <vt:i4>5</vt:i4>
      </vt:variant>
      <vt:variant>
        <vt:lpwstr>https://mpra.ub.uni-muenchen.de/104480/</vt:lpwstr>
      </vt:variant>
      <vt:variant>
        <vt:lpwstr/>
      </vt:variant>
      <vt:variant>
        <vt:i4>7012406</vt:i4>
      </vt:variant>
      <vt:variant>
        <vt:i4>129</vt:i4>
      </vt:variant>
      <vt:variant>
        <vt:i4>0</vt:i4>
      </vt:variant>
      <vt:variant>
        <vt:i4>5</vt:i4>
      </vt:variant>
      <vt:variant>
        <vt:lpwstr>https://www.redalyc.org/pdf/604/60416042003.pdf</vt:lpwstr>
      </vt:variant>
      <vt:variant>
        <vt:lpwstr/>
      </vt:variant>
      <vt:variant>
        <vt:i4>6029413</vt:i4>
      </vt:variant>
      <vt:variant>
        <vt:i4>126</vt:i4>
      </vt:variant>
      <vt:variant>
        <vt:i4>0</vt:i4>
      </vt:variant>
      <vt:variant>
        <vt:i4>5</vt:i4>
      </vt:variant>
      <vt:variant>
        <vt:lpwstr>https://www.scjn.gob.mx/sites/default/files/listas/documento_dos/2022-12/466.pdf</vt:lpwstr>
      </vt:variant>
      <vt:variant>
        <vt:lpwstr/>
      </vt:variant>
      <vt:variant>
        <vt:i4>2424954</vt:i4>
      </vt:variant>
      <vt:variant>
        <vt:i4>123</vt:i4>
      </vt:variant>
      <vt:variant>
        <vt:i4>0</vt:i4>
      </vt:variant>
      <vt:variant>
        <vt:i4>5</vt:i4>
      </vt:variant>
      <vt:variant>
        <vt:lpwstr>https://eservicios2.aguascalientes.gob.mx/NormatecaAdministrador/archivos/EDO-19-50.pdf</vt:lpwstr>
      </vt:variant>
      <vt:variant>
        <vt:lpwstr/>
      </vt:variant>
      <vt:variant>
        <vt:i4>2424887</vt:i4>
      </vt:variant>
      <vt:variant>
        <vt:i4>120</vt:i4>
      </vt:variant>
      <vt:variant>
        <vt:i4>0</vt:i4>
      </vt:variant>
      <vt:variant>
        <vt:i4>5</vt:i4>
      </vt:variant>
      <vt:variant>
        <vt:lpwstr>https://www.gob.mx/sep/acciones-y-programas/reconocimiento-de-validez-oficial-de-estudios-rvoe</vt:lpwstr>
      </vt:variant>
      <vt:variant>
        <vt:lpwstr/>
      </vt:variant>
      <vt:variant>
        <vt:i4>6357042</vt:i4>
      </vt:variant>
      <vt:variant>
        <vt:i4>117</vt:i4>
      </vt:variant>
      <vt:variant>
        <vt:i4>0</vt:i4>
      </vt:variant>
      <vt:variant>
        <vt:i4>5</vt:i4>
      </vt:variant>
      <vt:variant>
        <vt:lpwstr>https://www.diputados.gob.mx/LeyesBiblio/regley/Reg_LRArt5C_050418.pdf</vt:lpwstr>
      </vt:variant>
      <vt:variant>
        <vt:lpwstr/>
      </vt:variant>
      <vt:variant>
        <vt:i4>4849733</vt:i4>
      </vt:variant>
      <vt:variant>
        <vt:i4>114</vt:i4>
      </vt:variant>
      <vt:variant>
        <vt:i4>0</vt:i4>
      </vt:variant>
      <vt:variant>
        <vt:i4>5</vt:i4>
      </vt:variant>
      <vt:variant>
        <vt:lpwstr>https://tramitesqueretaro.mx/ficha/registrotituloycedula</vt:lpwstr>
      </vt:variant>
      <vt:variant>
        <vt:lpwstr/>
      </vt:variant>
      <vt:variant>
        <vt:i4>5636174</vt:i4>
      </vt:variant>
      <vt:variant>
        <vt:i4>111</vt:i4>
      </vt:variant>
      <vt:variant>
        <vt:i4>0</vt:i4>
      </vt:variant>
      <vt:variant>
        <vt:i4>5</vt:i4>
      </vt:variant>
      <vt:variant>
        <vt:lpwstr>http://ru.juridicas.unam.mx/xmlui/handle/123456789/30136</vt:lpwstr>
      </vt:variant>
      <vt:variant>
        <vt:lpwstr/>
      </vt:variant>
      <vt:variant>
        <vt:i4>7536656</vt:i4>
      </vt:variant>
      <vt:variant>
        <vt:i4>108</vt:i4>
      </vt:variant>
      <vt:variant>
        <vt:i4>0</vt:i4>
      </vt:variant>
      <vt:variant>
        <vt:i4>5</vt:i4>
      </vt:variant>
      <vt:variant>
        <vt:lpwstr>https://ru.iibi.unam.mx/jspui/bitstream/IIBI_UNAM/475/1/07_bibliotecas_informacion_claudia_pola.pdf</vt:lpwstr>
      </vt:variant>
      <vt:variant>
        <vt:lpwstr/>
      </vt:variant>
      <vt:variant>
        <vt:i4>4259925</vt:i4>
      </vt:variant>
      <vt:variant>
        <vt:i4>105</vt:i4>
      </vt:variant>
      <vt:variant>
        <vt:i4>0</vt:i4>
      </vt:variant>
      <vt:variant>
        <vt:i4>5</vt:i4>
      </vt:variant>
      <vt:variant>
        <vt:lpwstr>https://www.questionpro.com/blog/es/metodo-de-investigacion-cualitativo/</vt:lpwstr>
      </vt:variant>
      <vt:variant>
        <vt:lpwstr/>
      </vt:variant>
      <vt:variant>
        <vt:i4>1179740</vt:i4>
      </vt:variant>
      <vt:variant>
        <vt:i4>102</vt:i4>
      </vt:variant>
      <vt:variant>
        <vt:i4>0</vt:i4>
      </vt:variant>
      <vt:variant>
        <vt:i4>5</vt:i4>
      </vt:variant>
      <vt:variant>
        <vt:lpwstr>https://lalupa.mx/2023/08/15/cedula-profesional-estatal-opcion-segura-rapida-y-economica/</vt:lpwstr>
      </vt:variant>
      <vt:variant>
        <vt:lpwstr/>
      </vt:variant>
      <vt:variant>
        <vt:i4>6160409</vt:i4>
      </vt:variant>
      <vt:variant>
        <vt:i4>99</vt:i4>
      </vt:variant>
      <vt:variant>
        <vt:i4>0</vt:i4>
      </vt:variant>
      <vt:variant>
        <vt:i4>5</vt:i4>
      </vt:variant>
      <vt:variant>
        <vt:lpwstr>http://rixplora.upn.mx/jspui/bitstream/RIUPN/143595/2/1906 - UPN092MDELIMO2022 - No Autoriz%C3%B3.pdf</vt:lpwstr>
      </vt:variant>
      <vt:variant>
        <vt:lpwstr/>
      </vt:variant>
      <vt:variant>
        <vt:i4>2555986</vt:i4>
      </vt:variant>
      <vt:variant>
        <vt:i4>96</vt:i4>
      </vt:variant>
      <vt:variant>
        <vt:i4>0</vt:i4>
      </vt:variant>
      <vt:variant>
        <vt:i4>5</vt:i4>
      </vt:variant>
      <vt:variant>
        <vt:lpwstr>https://www.diputados.gob.mx/LeyesBiblio/pdf/208_190118.pdf</vt:lpwstr>
      </vt:variant>
      <vt:variant>
        <vt:lpwstr/>
      </vt:variant>
      <vt:variant>
        <vt:i4>2228243</vt:i4>
      </vt:variant>
      <vt:variant>
        <vt:i4>93</vt:i4>
      </vt:variant>
      <vt:variant>
        <vt:i4>0</vt:i4>
      </vt:variant>
      <vt:variant>
        <vt:i4>5</vt:i4>
      </vt:variant>
      <vt:variant>
        <vt:lpwstr>https://www.diputados.gob.mx/LeyesBiblio/pdf/LGES_200421.pdf</vt:lpwstr>
      </vt:variant>
      <vt:variant>
        <vt:lpwstr/>
      </vt:variant>
      <vt:variant>
        <vt:i4>4718672</vt:i4>
      </vt:variant>
      <vt:variant>
        <vt:i4>90</vt:i4>
      </vt:variant>
      <vt:variant>
        <vt:i4>0</vt:i4>
      </vt:variant>
      <vt:variant>
        <vt:i4>5</vt:i4>
      </vt:variant>
      <vt:variant>
        <vt:lpwstr>https://www.diputados.gob.mx/LeyesBiblio/pdf/LGE.pdf</vt:lpwstr>
      </vt:variant>
      <vt:variant>
        <vt:lpwstr/>
      </vt:variant>
      <vt:variant>
        <vt:i4>6619142</vt:i4>
      </vt:variant>
      <vt:variant>
        <vt:i4>87</vt:i4>
      </vt:variant>
      <vt:variant>
        <vt:i4>0</vt:i4>
      </vt:variant>
      <vt:variant>
        <vt:i4>5</vt:i4>
      </vt:variant>
      <vt:variant>
        <vt:lpwstr>https://diariooficial.gob.mx/nota_detalle.php?codigo=5519543&amp;fecha=17/04/2018</vt:lpwstr>
      </vt:variant>
      <vt:variant>
        <vt:lpwstr>gsc.tab=0</vt:lpwstr>
      </vt:variant>
      <vt:variant>
        <vt:i4>1310743</vt:i4>
      </vt:variant>
      <vt:variant>
        <vt:i4>84</vt:i4>
      </vt:variant>
      <vt:variant>
        <vt:i4>0</vt:i4>
      </vt:variant>
      <vt:variant>
        <vt:i4>5</vt:i4>
      </vt:variant>
      <vt:variant>
        <vt:lpwstr>https://tramites.nayarit.gob.mx/reportes/index/39</vt:lpwstr>
      </vt:variant>
      <vt:variant>
        <vt:lpwstr/>
      </vt:variant>
      <vt:variant>
        <vt:i4>65622</vt:i4>
      </vt:variant>
      <vt:variant>
        <vt:i4>81</vt:i4>
      </vt:variant>
      <vt:variant>
        <vt:i4>0</vt:i4>
      </vt:variant>
      <vt:variant>
        <vt:i4>5</vt:i4>
      </vt:variant>
      <vt:variant>
        <vt:lpwstr>https://see.michoacan.gob.mx/michoacan-expide-cedulas-profesionales-con-validez/</vt:lpwstr>
      </vt:variant>
      <vt:variant>
        <vt:lpwstr/>
      </vt:variant>
      <vt:variant>
        <vt:i4>2228321</vt:i4>
      </vt:variant>
      <vt:variant>
        <vt:i4>78</vt:i4>
      </vt:variant>
      <vt:variant>
        <vt:i4>0</vt:i4>
      </vt:variant>
      <vt:variant>
        <vt:i4>5</vt:i4>
      </vt:variant>
      <vt:variant>
        <vt:lpwstr>https://tramites.michoacan.gob.mx/</vt:lpwstr>
      </vt:variant>
      <vt:variant>
        <vt:lpwstr/>
      </vt:variant>
      <vt:variant>
        <vt:i4>1376349</vt:i4>
      </vt:variant>
      <vt:variant>
        <vt:i4>75</vt:i4>
      </vt:variant>
      <vt:variant>
        <vt:i4>0</vt:i4>
      </vt:variant>
      <vt:variant>
        <vt:i4>5</vt:i4>
      </vt:variant>
      <vt:variant>
        <vt:lpwstr>https://profesiones.edomex.gob.mx/cedula</vt:lpwstr>
      </vt:variant>
      <vt:variant>
        <vt:lpwstr/>
      </vt:variant>
      <vt:variant>
        <vt:i4>5636111</vt:i4>
      </vt:variant>
      <vt:variant>
        <vt:i4>72</vt:i4>
      </vt:variant>
      <vt:variant>
        <vt:i4>0</vt:i4>
      </vt:variant>
      <vt:variant>
        <vt:i4>5</vt:i4>
      </vt:variant>
      <vt:variant>
        <vt:lpwstr>https://tramites.jalisco.gob.mx/catalogo.jalisco/ciudadania/servicios/tramite/JAL-DP-0009</vt:lpwstr>
      </vt:variant>
      <vt:variant>
        <vt:lpwstr/>
      </vt:variant>
      <vt:variant>
        <vt:i4>1114123</vt:i4>
      </vt:variant>
      <vt:variant>
        <vt:i4>69</vt:i4>
      </vt:variant>
      <vt:variant>
        <vt:i4>0</vt:i4>
      </vt:variant>
      <vt:variant>
        <vt:i4>5</vt:i4>
      </vt:variant>
      <vt:variant>
        <vt:lpwstr>https://www.seg.guanajuato.gob.mx/Profesionistas/Documents/Cedula/CeDULA_PROFESIONAL_ESTATAL.pdf</vt:lpwstr>
      </vt:variant>
      <vt:variant>
        <vt:lpwstr/>
      </vt:variant>
      <vt:variant>
        <vt:i4>5374037</vt:i4>
      </vt:variant>
      <vt:variant>
        <vt:i4>66</vt:i4>
      </vt:variant>
      <vt:variant>
        <vt:i4>0</vt:i4>
      </vt:variant>
      <vt:variant>
        <vt:i4>5</vt:i4>
      </vt:variant>
      <vt:variant>
        <vt:lpwstr>https://www.seducoahuila.gob.mx/profesiones/</vt:lpwstr>
      </vt:variant>
      <vt:variant>
        <vt:lpwstr/>
      </vt:variant>
      <vt:variant>
        <vt:i4>2097258</vt:i4>
      </vt:variant>
      <vt:variant>
        <vt:i4>63</vt:i4>
      </vt:variant>
      <vt:variant>
        <vt:i4>0</vt:i4>
      </vt:variant>
      <vt:variant>
        <vt:i4>5</vt:i4>
      </vt:variant>
      <vt:variant>
        <vt:lpwstr>https://tramites.chihuahua.gob.mx/buscador.aspx?tram=cedula+profesional</vt:lpwstr>
      </vt:variant>
      <vt:variant>
        <vt:lpwstr/>
      </vt:variant>
      <vt:variant>
        <vt:i4>7798908</vt:i4>
      </vt:variant>
      <vt:variant>
        <vt:i4>60</vt:i4>
      </vt:variant>
      <vt:variant>
        <vt:i4>0</vt:i4>
      </vt:variant>
      <vt:variant>
        <vt:i4>5</vt:i4>
      </vt:variant>
      <vt:variant>
        <vt:lpwstr>https://retys.bajacalifornia.gob.mx/Portal/TyS/1495?perfilId=7</vt:lpwstr>
      </vt:variant>
      <vt:variant>
        <vt:lpwstr/>
      </vt:variant>
      <vt:variant>
        <vt:i4>917587</vt:i4>
      </vt:variant>
      <vt:variant>
        <vt:i4>57</vt:i4>
      </vt:variant>
      <vt:variant>
        <vt:i4>0</vt:i4>
      </vt:variant>
      <vt:variant>
        <vt:i4>5</vt:i4>
      </vt:variant>
      <vt:variant>
        <vt:lpwstr>https://www.sonora.gob.mx/servicios-y-tramites/558-registro-de-titulo-y-expedicion-de-cedula-profesional</vt:lpwstr>
      </vt:variant>
      <vt:variant>
        <vt:lpwstr/>
      </vt:variant>
      <vt:variant>
        <vt:i4>1114134</vt:i4>
      </vt:variant>
      <vt:variant>
        <vt:i4>54</vt:i4>
      </vt:variant>
      <vt:variant>
        <vt:i4>0</vt:i4>
      </vt:variant>
      <vt:variant>
        <vt:i4>5</vt:i4>
      </vt:variant>
      <vt:variant>
        <vt:lpwstr>https://ruts.hidalgo.gob.mx/ver/1135</vt:lpwstr>
      </vt:variant>
      <vt:variant>
        <vt:lpwstr/>
      </vt:variant>
      <vt:variant>
        <vt:i4>5636101</vt:i4>
      </vt:variant>
      <vt:variant>
        <vt:i4>51</vt:i4>
      </vt:variant>
      <vt:variant>
        <vt:i4>0</vt:i4>
      </vt:variant>
      <vt:variant>
        <vt:i4>5</vt:i4>
      </vt:variant>
      <vt:variant>
        <vt:lpwstr>https://es-us.noticias.yahoo.com/c%C3%A9dula-aparece-foto-amlo-desinformaci%C3%B3n-103441512.html</vt:lpwstr>
      </vt:variant>
      <vt:variant>
        <vt:lpwstr/>
      </vt:variant>
      <vt:variant>
        <vt:i4>6815790</vt:i4>
      </vt:variant>
      <vt:variant>
        <vt:i4>48</vt:i4>
      </vt:variant>
      <vt:variant>
        <vt:i4>0</vt:i4>
      </vt:variant>
      <vt:variant>
        <vt:i4>5</vt:i4>
      </vt:variant>
      <vt:variant>
        <vt:lpwstr>https://www.informador.mx/mexico/Cedula-profesional-Cuales-son-las-diferencias-entre-la-Estatal-y-la-Federal-20240124-0064.html</vt:lpwstr>
      </vt:variant>
      <vt:variant>
        <vt:lpwstr/>
      </vt:variant>
      <vt:variant>
        <vt:i4>4915273</vt:i4>
      </vt:variant>
      <vt:variant>
        <vt:i4>45</vt:i4>
      </vt:variant>
      <vt:variant>
        <vt:i4>0</vt:i4>
      </vt:variant>
      <vt:variant>
        <vt:i4>5</vt:i4>
      </vt:variant>
      <vt:variant>
        <vt:lpwstr>https://sirvoes.sep.gob.mx/sirvoes/mvc/consultas/verEstadisticasEindicadores</vt:lpwstr>
      </vt:variant>
      <vt:variant>
        <vt:lpwstr/>
      </vt:variant>
      <vt:variant>
        <vt:i4>4587542</vt:i4>
      </vt:variant>
      <vt:variant>
        <vt:i4>42</vt:i4>
      </vt:variant>
      <vt:variant>
        <vt:i4>0</vt:i4>
      </vt:variant>
      <vt:variant>
        <vt:i4>5</vt:i4>
      </vt:variant>
      <vt:variant>
        <vt:lpwstr>https://evaluacion.septlaxcala.gob.mx/docs/incorporacion.pdf</vt:lpwstr>
      </vt:variant>
      <vt:variant>
        <vt:lpwstr/>
      </vt:variant>
      <vt:variant>
        <vt:i4>8257599</vt:i4>
      </vt:variant>
      <vt:variant>
        <vt:i4>39</vt:i4>
      </vt:variant>
      <vt:variant>
        <vt:i4>0</vt:i4>
      </vt:variant>
      <vt:variant>
        <vt:i4>5</vt:i4>
      </vt:variant>
      <vt:variant>
        <vt:lpwstr>https://biblat.unam.mx/hevila/Alegatos/2013/no85/13.pdf</vt:lpwstr>
      </vt:variant>
      <vt:variant>
        <vt:lpwstr/>
      </vt:variant>
      <vt:variant>
        <vt:i4>2752562</vt:i4>
      </vt:variant>
      <vt:variant>
        <vt:i4>36</vt:i4>
      </vt:variant>
      <vt:variant>
        <vt:i4>0</vt:i4>
      </vt:variant>
      <vt:variant>
        <vt:i4>5</vt:i4>
      </vt:variant>
      <vt:variant>
        <vt:lpwstr>https://www.diputados.gob.mx/LeyesBiblio/pdf/CPEUM.pdf</vt:lpwstr>
      </vt:variant>
      <vt:variant>
        <vt:lpwstr/>
      </vt:variant>
      <vt:variant>
        <vt:i4>262219</vt:i4>
      </vt:variant>
      <vt:variant>
        <vt:i4>33</vt:i4>
      </vt:variant>
      <vt:variant>
        <vt:i4>0</vt:i4>
      </vt:variant>
      <vt:variant>
        <vt:i4>5</vt:i4>
      </vt:variant>
      <vt:variant>
        <vt:lpwstr>https://catalogonacional.gob.mx/FichaTramite?traHomoclave=SEP-2022-8129-025-A</vt:lpwstr>
      </vt:variant>
      <vt:variant>
        <vt:lpwstr/>
      </vt:variant>
      <vt:variant>
        <vt:i4>8061003</vt:i4>
      </vt:variant>
      <vt:variant>
        <vt:i4>30</vt:i4>
      </vt:variant>
      <vt:variant>
        <vt:i4>0</vt:i4>
      </vt:variant>
      <vt:variant>
        <vt:i4>5</vt:i4>
      </vt:variant>
      <vt:variant>
        <vt:lpwstr>https://repositori.upf.edu/bitstream/handle/10230/35144/Codina_preguntas.pdf?sequence=1&amp;isAllowed=y</vt:lpwstr>
      </vt:variant>
      <vt:variant>
        <vt:lpwstr/>
      </vt:variant>
      <vt:variant>
        <vt:i4>8192049</vt:i4>
      </vt:variant>
      <vt:variant>
        <vt:i4>27</vt:i4>
      </vt:variant>
      <vt:variant>
        <vt:i4>0</vt:i4>
      </vt:variant>
      <vt:variant>
        <vt:i4>5</vt:i4>
      </vt:variant>
      <vt:variant>
        <vt:lpwstr>https://factura.com/blog/cedula-profesional-que-es-para-que-sirve/</vt:lpwstr>
      </vt:variant>
      <vt:variant>
        <vt:lpwstr/>
      </vt:variant>
      <vt:variant>
        <vt:i4>31</vt:i4>
      </vt:variant>
      <vt:variant>
        <vt:i4>24</vt:i4>
      </vt:variant>
      <vt:variant>
        <vt:i4>0</vt:i4>
      </vt:variant>
      <vt:variant>
        <vt:i4>5</vt:i4>
      </vt:variant>
      <vt:variant>
        <vt:lpwstr>http://www.anuies.mx/informacion-y-servicios/informacion-estadistica-de-educacion-superior/anuario-estadistico-de-educacion-superior</vt:lpwstr>
      </vt:variant>
      <vt:variant>
        <vt:lpwstr/>
      </vt:variant>
      <vt:variant>
        <vt:i4>327773</vt:i4>
      </vt:variant>
      <vt:variant>
        <vt:i4>21</vt:i4>
      </vt:variant>
      <vt:variant>
        <vt:i4>0</vt:i4>
      </vt:variant>
      <vt:variant>
        <vt:i4>5</vt:i4>
      </vt:variant>
      <vt:variant>
        <vt:lpwstr>https://doi.org/10.36888/udual.universidades.2023.97.700</vt:lpwstr>
      </vt:variant>
      <vt:variant>
        <vt:lpwstr/>
      </vt:variant>
      <vt:variant>
        <vt:i4>3276918</vt:i4>
      </vt:variant>
      <vt:variant>
        <vt:i4>18</vt:i4>
      </vt:variant>
      <vt:variant>
        <vt:i4>0</vt:i4>
      </vt:variant>
      <vt:variant>
        <vt:i4>5</vt:i4>
      </vt:variant>
      <vt:variant>
        <vt:lpwstr>https://www.altonivel.com.mx/que-es-la-cedula-profesional-y-para-que-sirve/</vt:lpwstr>
      </vt:variant>
      <vt:variant>
        <vt:lpwstr/>
      </vt:variant>
      <vt:variant>
        <vt:i4>6488108</vt:i4>
      </vt:variant>
      <vt:variant>
        <vt:i4>15</vt:i4>
      </vt:variant>
      <vt:variant>
        <vt:i4>0</vt:i4>
      </vt:variant>
      <vt:variant>
        <vt:i4>5</vt:i4>
      </vt:variant>
      <vt:variant>
        <vt:lpwstr>https://www.buholegal.com/consultasep/</vt:lpwstr>
      </vt:variant>
      <vt:variant>
        <vt:lpwstr/>
      </vt:variant>
      <vt:variant>
        <vt:i4>1507352</vt:i4>
      </vt:variant>
      <vt:variant>
        <vt:i4>12</vt:i4>
      </vt:variant>
      <vt:variant>
        <vt:i4>0</vt:i4>
      </vt:variant>
      <vt:variant>
        <vt:i4>5</vt:i4>
      </vt:variant>
      <vt:variant>
        <vt:lpwstr>https://www.cedulaprofesional.sep.gob.mx/cedula/indexAvanzada.action</vt:lpwstr>
      </vt:variant>
      <vt:variant>
        <vt:lpwstr/>
      </vt:variant>
      <vt:variant>
        <vt:i4>5308424</vt:i4>
      </vt:variant>
      <vt:variant>
        <vt:i4>9</vt:i4>
      </vt:variant>
      <vt:variant>
        <vt:i4>0</vt:i4>
      </vt:variant>
      <vt:variant>
        <vt:i4>5</vt:i4>
      </vt:variant>
      <vt:variant>
        <vt:lpwstr>https://creativecommons.org/licenses/by/4.0/</vt:lpwstr>
      </vt:variant>
      <vt:variant>
        <vt:lpwstr/>
      </vt:variant>
      <vt:variant>
        <vt:i4>5242953</vt:i4>
      </vt:variant>
      <vt:variant>
        <vt:i4>6</vt:i4>
      </vt:variant>
      <vt:variant>
        <vt:i4>0</vt:i4>
      </vt:variant>
      <vt:variant>
        <vt:i4>5</vt:i4>
      </vt:variant>
      <vt:variant>
        <vt:lpwstr>https://doi.org/10.35756/educaumch.202322.274</vt:lpwstr>
      </vt:variant>
      <vt:variant>
        <vt:lpwstr/>
      </vt:variant>
      <vt:variant>
        <vt:i4>5242953</vt:i4>
      </vt:variant>
      <vt:variant>
        <vt:i4>3</vt:i4>
      </vt:variant>
      <vt:variant>
        <vt:i4>0</vt:i4>
      </vt:variant>
      <vt:variant>
        <vt:i4>5</vt:i4>
      </vt:variant>
      <vt:variant>
        <vt:lpwstr>https://doi.org/10.35756/educaumch.202322.274</vt:lpwstr>
      </vt:variant>
      <vt:variant>
        <vt:lpwstr/>
      </vt:variant>
      <vt:variant>
        <vt:i4>1245191</vt:i4>
      </vt:variant>
      <vt:variant>
        <vt:i4>0</vt:i4>
      </vt:variant>
      <vt:variant>
        <vt:i4>0</vt:i4>
      </vt:variant>
      <vt:variant>
        <vt:i4>5</vt:i4>
      </vt:variant>
      <vt:variant>
        <vt:lpwstr>https://doi.org/10.35756/educaumc</vt:lpwstr>
      </vt:variant>
      <vt:variant>
        <vt:lpwstr/>
      </vt:variant>
      <vt:variant>
        <vt:i4>5636145</vt:i4>
      </vt:variant>
      <vt:variant>
        <vt:i4>0</vt:i4>
      </vt:variant>
      <vt:variant>
        <vt:i4>0</vt:i4>
      </vt:variant>
      <vt:variant>
        <vt:i4>5</vt:i4>
      </vt:variant>
      <vt:variant>
        <vt:lpwstr>mailto:revistaeduca@umch.edu.pe</vt:lpwstr>
      </vt:variant>
      <vt:variant>
        <vt:lpwstr/>
      </vt:variant>
      <vt:variant>
        <vt:i4>5242953</vt:i4>
      </vt:variant>
      <vt:variant>
        <vt:i4>3</vt:i4>
      </vt:variant>
      <vt:variant>
        <vt:i4>0</vt:i4>
      </vt:variant>
      <vt:variant>
        <vt:i4>5</vt:i4>
      </vt:variant>
      <vt:variant>
        <vt:lpwstr>https://doi.org/10.35756/educaumch.202322.274</vt:lpwstr>
      </vt:variant>
      <vt:variant>
        <vt:lpwstr/>
      </vt:variant>
      <vt:variant>
        <vt:i4>1245191</vt:i4>
      </vt:variant>
      <vt:variant>
        <vt:i4>0</vt:i4>
      </vt:variant>
      <vt:variant>
        <vt:i4>0</vt:i4>
      </vt:variant>
      <vt:variant>
        <vt:i4>5</vt:i4>
      </vt:variant>
      <vt:variant>
        <vt:lpwstr>https://doi.org/10.35756/educaumc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Como citar                                                                Villalobos, J. A. (2025). Gestión educativa y reconocimiento oficial de estudios superiores en México: validez de estudios, titulación y cédulas profesionales (2024). Revista EDUCA</dc:title>
  <dc:subject/>
  <dc:creator>Liz Contreras Yalico</dc:creator>
  <cp:keywords/>
  <dc:description/>
  <cp:lastModifiedBy>PETRONILA LIZ CONTRERAS YALICO</cp:lastModifiedBy>
  <cp:revision>7</cp:revision>
  <cp:lastPrinted>2026-08-21T16:36:00Z</cp:lastPrinted>
  <dcterms:created xsi:type="dcterms:W3CDTF">2026-09-08T18:58:00Z</dcterms:created>
  <dcterms:modified xsi:type="dcterms:W3CDTF">2026-09-10T04:41:00Z</dcterms:modified>
</cp:coreProperties>
</file>